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黑体" w:hAnsi="黑体" w:eastAsia="黑体"/>
          <w:b/>
          <w:color w:val="auto"/>
          <w:sz w:val="72"/>
          <w:szCs w:val="72"/>
        </w:rPr>
      </w:pPr>
    </w:p>
    <w:p>
      <w:pPr>
        <w:jc w:val="center"/>
        <w:rPr>
          <w:rFonts w:ascii="黑体" w:hAnsi="黑体" w:eastAsia="黑体"/>
          <w:b/>
          <w:color w:val="auto"/>
          <w:sz w:val="72"/>
          <w:szCs w:val="72"/>
        </w:rPr>
      </w:pPr>
    </w:p>
    <w:p>
      <w:pPr>
        <w:jc w:val="center"/>
        <w:rPr>
          <w:rFonts w:ascii="黑体" w:hAnsi="黑体" w:eastAsia="黑体"/>
          <w:b/>
          <w:color w:val="auto"/>
          <w:sz w:val="72"/>
          <w:szCs w:val="72"/>
        </w:rPr>
      </w:pPr>
      <w:r>
        <w:rPr>
          <w:rFonts w:hint="eastAsia" w:ascii="黑体" w:hAnsi="黑体" w:eastAsia="黑体"/>
          <w:b/>
          <w:color w:val="auto"/>
          <w:sz w:val="72"/>
          <w:szCs w:val="72"/>
        </w:rPr>
        <w:t>工程招标文件</w:t>
      </w:r>
    </w:p>
    <w:p>
      <w:pPr>
        <w:rPr>
          <w:color w:val="auto"/>
        </w:rPr>
      </w:pPr>
    </w:p>
    <w:p>
      <w:pPr>
        <w:rPr>
          <w:color w:val="auto"/>
          <w:sz w:val="32"/>
          <w:szCs w:val="32"/>
        </w:rPr>
      </w:pPr>
    </w:p>
    <w:p>
      <w:pPr>
        <w:rPr>
          <w:color w:val="auto"/>
        </w:rPr>
      </w:pPr>
    </w:p>
    <w:p>
      <w:pPr>
        <w:rPr>
          <w:color w:val="auto"/>
        </w:rPr>
      </w:pPr>
    </w:p>
    <w:p>
      <w:pPr>
        <w:rPr>
          <w:color w:val="auto"/>
        </w:rPr>
      </w:pPr>
    </w:p>
    <w:p>
      <w:pPr>
        <w:rPr>
          <w:color w:val="auto"/>
        </w:rPr>
      </w:pPr>
    </w:p>
    <w:p>
      <w:pPr>
        <w:pStyle w:val="6"/>
        <w:spacing w:line="360" w:lineRule="auto"/>
        <w:ind w:firstLine="803" w:firstLineChars="250"/>
        <w:rPr>
          <w:rFonts w:ascii="仿宋_GB2312" w:eastAsia="仿宋_GB2312"/>
          <w:b/>
          <w:color w:val="auto"/>
          <w:sz w:val="32"/>
        </w:rPr>
      </w:pPr>
      <w:r>
        <w:rPr>
          <w:rFonts w:hint="eastAsia" w:ascii="仿宋_GB2312" w:eastAsia="仿宋_GB2312"/>
          <w:b/>
          <w:color w:val="auto"/>
          <w:sz w:val="32"/>
        </w:rPr>
        <w:t xml:space="preserve">项目编号：（项目编号）  </w:t>
      </w:r>
    </w:p>
    <w:p>
      <w:pPr>
        <w:pStyle w:val="6"/>
        <w:spacing w:line="360" w:lineRule="auto"/>
        <w:ind w:firstLine="803" w:firstLineChars="250"/>
        <w:rPr>
          <w:rFonts w:ascii="仿宋_GB2312" w:eastAsia="仿宋_GB2312"/>
          <w:b/>
          <w:color w:val="auto"/>
          <w:sz w:val="32"/>
        </w:rPr>
      </w:pPr>
      <w:r>
        <w:rPr>
          <w:rFonts w:hint="eastAsia" w:ascii="仿宋_GB2312" w:eastAsia="仿宋_GB2312"/>
          <w:b/>
          <w:color w:val="auto"/>
          <w:sz w:val="32"/>
        </w:rPr>
        <w:t>项目名称：乳源电化厂1回合化工II线线路迁改工程</w:t>
      </w:r>
    </w:p>
    <w:p>
      <w:pPr>
        <w:snapToGrid w:val="0"/>
        <w:spacing w:line="420" w:lineRule="auto"/>
        <w:jc w:val="center"/>
        <w:rPr>
          <w:color w:val="auto"/>
          <w:sz w:val="24"/>
        </w:rPr>
      </w:pPr>
    </w:p>
    <w:p>
      <w:pPr>
        <w:snapToGrid w:val="0"/>
        <w:spacing w:line="420" w:lineRule="auto"/>
        <w:jc w:val="center"/>
        <w:rPr>
          <w:color w:val="auto"/>
          <w:sz w:val="24"/>
        </w:rPr>
      </w:pPr>
    </w:p>
    <w:p>
      <w:pPr>
        <w:snapToGrid w:val="0"/>
        <w:spacing w:line="420" w:lineRule="auto"/>
        <w:jc w:val="center"/>
        <w:rPr>
          <w:color w:val="auto"/>
          <w:sz w:val="24"/>
        </w:rPr>
      </w:pPr>
    </w:p>
    <w:p>
      <w:pPr>
        <w:snapToGrid w:val="0"/>
        <w:spacing w:line="420" w:lineRule="auto"/>
        <w:jc w:val="center"/>
        <w:rPr>
          <w:color w:val="auto"/>
          <w:sz w:val="24"/>
        </w:rPr>
      </w:pPr>
    </w:p>
    <w:p>
      <w:pPr>
        <w:snapToGrid w:val="0"/>
        <w:spacing w:line="420" w:lineRule="auto"/>
        <w:jc w:val="center"/>
        <w:rPr>
          <w:color w:val="auto"/>
          <w:sz w:val="24"/>
        </w:rPr>
      </w:pPr>
    </w:p>
    <w:p>
      <w:pPr>
        <w:jc w:val="center"/>
        <w:rPr>
          <w:rFonts w:ascii="黑体" w:hAnsi="华文中宋" w:eastAsia="黑体" w:cs="华文中宋"/>
          <w:color w:val="auto"/>
          <w:sz w:val="30"/>
          <w:szCs w:val="30"/>
        </w:rPr>
      </w:pPr>
      <w:r>
        <w:rPr>
          <w:rFonts w:hint="eastAsia" w:ascii="黑体" w:hAnsi="华文中宋" w:eastAsia="黑体" w:cs="华文中宋"/>
          <w:color w:val="auto"/>
          <w:sz w:val="30"/>
          <w:szCs w:val="30"/>
        </w:rPr>
        <w:t>乳源瑶族自治县鑫源环保金属科技有限公司</w:t>
      </w:r>
    </w:p>
    <w:p>
      <w:pPr>
        <w:jc w:val="center"/>
        <w:rPr>
          <w:rFonts w:ascii="黑体" w:hAnsi="华文中宋" w:eastAsia="黑体" w:cs="华文中宋"/>
          <w:color w:val="auto"/>
          <w:sz w:val="30"/>
          <w:szCs w:val="30"/>
        </w:rPr>
      </w:pPr>
    </w:p>
    <w:p>
      <w:pPr>
        <w:jc w:val="center"/>
        <w:rPr>
          <w:rFonts w:ascii="黑体" w:hAnsi="华文中宋" w:eastAsia="黑体" w:cs="华文中宋"/>
          <w:color w:val="auto"/>
          <w:sz w:val="30"/>
          <w:szCs w:val="30"/>
        </w:rPr>
      </w:pPr>
    </w:p>
    <w:p>
      <w:pPr>
        <w:jc w:val="center"/>
        <w:rPr>
          <w:rFonts w:ascii="宋体" w:hAnsi="宋体"/>
          <w:b/>
          <w:color w:val="auto"/>
          <w:sz w:val="36"/>
        </w:rPr>
        <w:sectPr>
          <w:footerReference r:id="rId3" w:type="first"/>
          <w:pgSz w:w="11906" w:h="16838"/>
          <w:pgMar w:top="1418" w:right="1361" w:bottom="1418" w:left="1418" w:header="851" w:footer="992" w:gutter="0"/>
          <w:cols w:space="720" w:num="1"/>
          <w:docGrid w:type="lines" w:linePitch="312" w:charSpace="0"/>
        </w:sectPr>
      </w:pPr>
    </w:p>
    <w:p>
      <w:pPr>
        <w:jc w:val="center"/>
        <w:rPr>
          <w:rFonts w:ascii="宋体" w:hAnsi="宋体"/>
          <w:b/>
          <w:color w:val="auto"/>
          <w:sz w:val="36"/>
        </w:rPr>
      </w:pPr>
      <w:r>
        <w:rPr>
          <w:rFonts w:hint="eastAsia" w:ascii="宋体" w:hAnsi="宋体"/>
          <w:b/>
          <w:color w:val="auto"/>
          <w:sz w:val="36"/>
        </w:rPr>
        <w:t>目录</w:t>
      </w:r>
    </w:p>
    <w:p>
      <w:pPr>
        <w:pStyle w:val="12"/>
        <w:tabs>
          <w:tab w:val="right" w:leader="dot" w:pos="9117"/>
        </w:tabs>
        <w:rPr>
          <w:color w:val="auto"/>
          <w:kern w:val="2"/>
          <w:sz w:val="21"/>
        </w:rPr>
      </w:pPr>
      <w:r>
        <w:rPr>
          <w:rFonts w:ascii="宋体" w:hAnsi="宋体"/>
          <w:color w:val="auto"/>
          <w:sz w:val="21"/>
          <w:szCs w:val="21"/>
        </w:rPr>
        <w:fldChar w:fldCharType="begin"/>
      </w:r>
      <w:r>
        <w:rPr>
          <w:rFonts w:ascii="宋体" w:hAnsi="宋体"/>
          <w:color w:val="auto"/>
          <w:sz w:val="21"/>
          <w:szCs w:val="21"/>
        </w:rPr>
        <w:instrText xml:space="preserve"> TOC \o "1-3" \h \z </w:instrText>
      </w:r>
      <w:r>
        <w:rPr>
          <w:rFonts w:ascii="宋体" w:hAnsi="宋体"/>
          <w:color w:val="auto"/>
          <w:sz w:val="21"/>
          <w:szCs w:val="21"/>
        </w:rPr>
        <w:fldChar w:fldCharType="separate"/>
      </w:r>
      <w:r>
        <w:rPr>
          <w:color w:val="auto"/>
        </w:rPr>
        <w:fldChar w:fldCharType="begin"/>
      </w:r>
      <w:r>
        <w:rPr>
          <w:color w:val="auto"/>
        </w:rPr>
        <w:instrText xml:space="preserve"> HYPERLINK \l "_Toc518908446" </w:instrText>
      </w:r>
      <w:r>
        <w:rPr>
          <w:color w:val="auto"/>
        </w:rPr>
        <w:fldChar w:fldCharType="separate"/>
      </w:r>
      <w:r>
        <w:rPr>
          <w:rStyle w:val="25"/>
          <w:rFonts w:hint="eastAsia"/>
          <w:color w:val="auto"/>
          <w:kern w:val="44"/>
          <w:lang w:val="zh-CN"/>
        </w:rPr>
        <w:t>第</w:t>
      </w:r>
      <w:r>
        <w:rPr>
          <w:rStyle w:val="25"/>
          <w:color w:val="auto"/>
          <w:kern w:val="44"/>
          <w:lang w:val="zh-CN"/>
        </w:rPr>
        <w:t>1</w:t>
      </w:r>
      <w:r>
        <w:rPr>
          <w:rStyle w:val="25"/>
          <w:rFonts w:hint="eastAsia"/>
          <w:color w:val="auto"/>
          <w:kern w:val="44"/>
          <w:lang w:val="zh-CN"/>
        </w:rPr>
        <w:t>章　投标邀请书</w:t>
      </w:r>
      <w:r>
        <w:rPr>
          <w:color w:val="auto"/>
        </w:rPr>
        <w:tab/>
      </w:r>
      <w:r>
        <w:rPr>
          <w:color w:val="auto"/>
        </w:rPr>
        <w:fldChar w:fldCharType="begin"/>
      </w:r>
      <w:r>
        <w:rPr>
          <w:color w:val="auto"/>
        </w:rPr>
        <w:instrText xml:space="preserve"> PAGEREF _Toc518908446 \h </w:instrText>
      </w:r>
      <w:r>
        <w:rPr>
          <w:color w:val="auto"/>
        </w:rPr>
        <w:fldChar w:fldCharType="separate"/>
      </w:r>
      <w:r>
        <w:rPr>
          <w:color w:val="auto"/>
        </w:rPr>
        <w:t>1</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"_Toc518908447"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2</w:t>
      </w:r>
      <w:r>
        <w:rPr>
          <w:rStyle w:val="25"/>
          <w:rFonts w:hint="eastAsia" w:ascii="Times New Roman" w:hAnsi="Times New Roman"/>
          <w:color w:val="auto"/>
          <w:kern w:val="44"/>
          <w:lang w:val="zh-CN"/>
        </w:rPr>
        <w:t>章　投标人须知</w:t>
      </w:r>
      <w:r>
        <w:rPr>
          <w:color w:val="auto"/>
        </w:rPr>
        <w:tab/>
      </w:r>
      <w:r>
        <w:rPr>
          <w:color w:val="auto"/>
        </w:rPr>
        <w:fldChar w:fldCharType="begin"/>
      </w:r>
      <w:r>
        <w:rPr>
          <w:color w:val="auto"/>
        </w:rPr>
        <w:instrText xml:space="preserve"> PAGEREF _Toc518908447 \h </w:instrText>
      </w:r>
      <w:r>
        <w:rPr>
          <w:color w:val="auto"/>
        </w:rPr>
        <w:fldChar w:fldCharType="separate"/>
      </w:r>
      <w:r>
        <w:rPr>
          <w:color w:val="auto"/>
        </w:rPr>
        <w:t>3</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"_Toc518908458"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3</w:t>
      </w:r>
      <w:r>
        <w:rPr>
          <w:rStyle w:val="25"/>
          <w:rFonts w:hint="eastAsia" w:ascii="Times New Roman" w:hAnsi="Times New Roman"/>
          <w:color w:val="auto"/>
          <w:kern w:val="44"/>
          <w:lang w:val="zh-CN"/>
        </w:rPr>
        <w:t>章　评标办法</w:t>
      </w:r>
      <w:r>
        <w:rPr>
          <w:color w:val="auto"/>
        </w:rPr>
        <w:tab/>
      </w:r>
      <w:r>
        <w:rPr>
          <w:color w:val="auto"/>
        </w:rPr>
        <w:fldChar w:fldCharType="begin"/>
      </w:r>
      <w:r>
        <w:rPr>
          <w:color w:val="auto"/>
        </w:rPr>
        <w:instrText xml:space="preserve"> PAGEREF _Toc518908458 \h </w:instrText>
      </w:r>
      <w:r>
        <w:rPr>
          <w:color w:val="auto"/>
        </w:rPr>
        <w:fldChar w:fldCharType="separate"/>
      </w:r>
      <w:r>
        <w:rPr>
          <w:color w:val="auto"/>
        </w:rPr>
        <w:t>14</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"_Toc518908459"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4</w:t>
      </w:r>
      <w:r>
        <w:rPr>
          <w:rStyle w:val="25"/>
          <w:rFonts w:hint="eastAsia" w:ascii="Times New Roman" w:hAnsi="Times New Roman"/>
          <w:color w:val="auto"/>
          <w:kern w:val="44"/>
          <w:lang w:val="zh-CN"/>
        </w:rPr>
        <w:t>章　合同条款及格式</w:t>
      </w:r>
      <w:r>
        <w:rPr>
          <w:color w:val="auto"/>
        </w:rPr>
        <w:tab/>
      </w:r>
      <w:r>
        <w:rPr>
          <w:color w:val="auto"/>
        </w:rPr>
        <w:fldChar w:fldCharType="begin"/>
      </w:r>
      <w:r>
        <w:rPr>
          <w:color w:val="auto"/>
        </w:rPr>
        <w:instrText xml:space="preserve"> PAGEREF _Toc518908459 \h </w:instrText>
      </w:r>
      <w:r>
        <w:rPr>
          <w:color w:val="auto"/>
        </w:rPr>
        <w:fldChar w:fldCharType="separate"/>
      </w:r>
      <w:r>
        <w:rPr>
          <w:color w:val="auto"/>
        </w:rPr>
        <w:t>17</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"_Toc518908460"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5</w:t>
      </w:r>
      <w:r>
        <w:rPr>
          <w:rStyle w:val="25"/>
          <w:rFonts w:hint="eastAsia" w:ascii="Times New Roman" w:hAnsi="Times New Roman"/>
          <w:color w:val="auto"/>
          <w:kern w:val="44"/>
          <w:lang w:val="zh-CN"/>
        </w:rPr>
        <w:t>章　工程量清单</w:t>
      </w:r>
      <w:r>
        <w:rPr>
          <w:color w:val="auto"/>
        </w:rPr>
        <w:tab/>
      </w:r>
      <w:r>
        <w:rPr>
          <w:color w:val="auto"/>
        </w:rPr>
        <w:fldChar w:fldCharType="begin"/>
      </w:r>
      <w:r>
        <w:rPr>
          <w:color w:val="auto"/>
        </w:rPr>
        <w:instrText xml:space="preserve"> PAGEREF _Toc518908460 \h </w:instrText>
      </w:r>
      <w:r>
        <w:rPr>
          <w:color w:val="auto"/>
        </w:rPr>
        <w:fldChar w:fldCharType="separate"/>
      </w:r>
      <w:r>
        <w:rPr>
          <w:color w:val="auto"/>
        </w:rPr>
        <w:t>21</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"_Toc518908461"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6</w:t>
      </w:r>
      <w:r>
        <w:rPr>
          <w:rStyle w:val="25"/>
          <w:rFonts w:hint="eastAsia" w:ascii="Times New Roman" w:hAnsi="Times New Roman"/>
          <w:color w:val="auto"/>
          <w:kern w:val="44"/>
          <w:lang w:val="zh-CN"/>
        </w:rPr>
        <w:t>章　图纸</w:t>
      </w:r>
      <w:r>
        <w:rPr>
          <w:color w:val="auto"/>
        </w:rPr>
        <w:tab/>
      </w:r>
      <w:r>
        <w:rPr>
          <w:color w:val="auto"/>
        </w:rPr>
        <w:fldChar w:fldCharType="begin"/>
      </w:r>
      <w:r>
        <w:rPr>
          <w:color w:val="auto"/>
        </w:rPr>
        <w:instrText xml:space="preserve"> PAGEREF _Toc518908461 \h </w:instrText>
      </w:r>
      <w:r>
        <w:rPr>
          <w:color w:val="auto"/>
        </w:rPr>
        <w:fldChar w:fldCharType="separate"/>
      </w:r>
      <w:r>
        <w:rPr>
          <w:color w:val="auto"/>
        </w:rPr>
        <w:t>22</w:t>
      </w:r>
      <w:r>
        <w:rPr>
          <w:color w:val="auto"/>
        </w:rPr>
        <w:fldChar w:fldCharType="end"/>
      </w:r>
      <w:r>
        <w:rPr>
          <w:color w:val="auto"/>
        </w:rPr>
        <w:fldChar w:fldCharType="end"/>
      </w:r>
    </w:p>
    <w:p>
      <w:pPr>
        <w:pStyle w:val="12"/>
        <w:tabs>
          <w:tab w:val="right" w:leader="dot" w:pos="9117"/>
        </w:tabs>
        <w:rPr>
          <w:color w:val="auto"/>
          <w:kern w:val="2"/>
          <w:sz w:val="21"/>
        </w:rPr>
      </w:pPr>
      <w:r>
        <w:rPr>
          <w:color w:val="auto"/>
        </w:rPr>
        <w:fldChar w:fldCharType="begin"/>
      </w:r>
      <w:r>
        <w:rPr>
          <w:color w:val="auto"/>
        </w:rPr>
        <w:instrText xml:space="preserve"> HYPERLINK \l "_Toc518908462" </w:instrText>
      </w:r>
      <w:r>
        <w:rPr>
          <w:color w:val="auto"/>
        </w:rPr>
        <w:fldChar w:fldCharType="separate"/>
      </w:r>
      <w:r>
        <w:rPr>
          <w:rStyle w:val="25"/>
          <w:rFonts w:hint="eastAsia" w:ascii="Times New Roman" w:hAnsi="Times New Roman"/>
          <w:color w:val="auto"/>
          <w:kern w:val="44"/>
          <w:lang w:val="zh-CN"/>
        </w:rPr>
        <w:t>第</w:t>
      </w:r>
      <w:r>
        <w:rPr>
          <w:rStyle w:val="25"/>
          <w:rFonts w:ascii="Times New Roman" w:hAnsi="Times New Roman"/>
          <w:color w:val="auto"/>
          <w:kern w:val="44"/>
          <w:lang w:val="zh-CN"/>
        </w:rPr>
        <w:t>7</w:t>
      </w:r>
      <w:r>
        <w:rPr>
          <w:rStyle w:val="25"/>
          <w:rFonts w:hint="eastAsia" w:ascii="Times New Roman" w:hAnsi="Times New Roman"/>
          <w:color w:val="auto"/>
          <w:kern w:val="44"/>
          <w:lang w:val="zh-CN"/>
        </w:rPr>
        <w:t>章　投标文件格式</w:t>
      </w:r>
      <w:r>
        <w:rPr>
          <w:color w:val="auto"/>
        </w:rPr>
        <w:tab/>
      </w:r>
      <w:r>
        <w:rPr>
          <w:color w:val="auto"/>
        </w:rPr>
        <w:fldChar w:fldCharType="begin"/>
      </w:r>
      <w:r>
        <w:rPr>
          <w:color w:val="auto"/>
        </w:rPr>
        <w:instrText xml:space="preserve"> PAGEREF _Toc518908462 \h </w:instrText>
      </w:r>
      <w:r>
        <w:rPr>
          <w:color w:val="auto"/>
        </w:rPr>
        <w:fldChar w:fldCharType="separate"/>
      </w:r>
      <w:r>
        <w:rPr>
          <w:color w:val="auto"/>
        </w:rPr>
        <w:t>23</w:t>
      </w:r>
      <w:r>
        <w:rPr>
          <w:color w:val="auto"/>
        </w:rPr>
        <w:fldChar w:fldCharType="end"/>
      </w:r>
      <w:r>
        <w:rPr>
          <w:color w:val="auto"/>
        </w:rPr>
        <w:fldChar w:fldCharType="end"/>
      </w:r>
    </w:p>
    <w:p>
      <w:pPr>
        <w:rPr>
          <w:color w:val="auto"/>
        </w:rPr>
        <w:sectPr>
          <w:headerReference r:id="rId4" w:type="default"/>
          <w:footerReference r:id="rId5" w:type="default"/>
          <w:pgSz w:w="11906" w:h="16838"/>
          <w:pgMar w:top="1418" w:right="1361" w:bottom="1418" w:left="1418" w:header="851" w:footer="964" w:gutter="0"/>
          <w:cols w:space="720" w:num="1"/>
          <w:docGrid w:type="lines" w:linePitch="312" w:charSpace="0"/>
        </w:sectPr>
      </w:pPr>
      <w:r>
        <w:rPr>
          <w:color w:val="auto"/>
        </w:rPr>
        <w:fldChar w:fldCharType="end"/>
      </w:r>
      <w:bookmarkStart w:id="0" w:name="第01章招标公告"/>
      <w:bookmarkEnd w:id="0"/>
    </w:p>
    <w:p>
      <w:pPr>
        <w:pStyle w:val="2"/>
        <w:keepNext/>
        <w:keepLines/>
        <w:widowControl w:val="0"/>
        <w:spacing w:before="0" w:after="0" w:line="360" w:lineRule="auto"/>
        <w:ind w:right="0"/>
        <w:jc w:val="center"/>
        <w:rPr>
          <w:color w:val="auto"/>
          <w:lang w:val="zh-CN"/>
        </w:rPr>
      </w:pPr>
      <w:bookmarkStart w:id="1" w:name="_Toc518908446"/>
      <w:r>
        <w:rPr>
          <w:color w:val="auto"/>
          <w:kern w:val="44"/>
          <w:sz w:val="44"/>
          <w:szCs w:val="44"/>
          <w:lang w:val="zh-CN"/>
        </w:rPr>
        <w:t>第1章　</w:t>
      </w:r>
      <w:bookmarkEnd w:id="1"/>
      <w:r>
        <w:rPr>
          <w:rFonts w:hint="eastAsia"/>
          <w:color w:val="auto"/>
          <w:kern w:val="44"/>
          <w:sz w:val="44"/>
          <w:szCs w:val="44"/>
          <w:lang w:val="zh-CN"/>
        </w:rPr>
        <w:t>投标邀请书</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乳源瑶族自治县鑫源环保金属科技有限公司现对</w:t>
      </w:r>
      <w:r>
        <w:rPr>
          <w:rFonts w:hint="eastAsia" w:ascii="宋体" w:hAnsi="宋体"/>
          <w:bCs/>
          <w:color w:val="auto"/>
          <w:szCs w:val="21"/>
        </w:rPr>
        <w:t>乳源电化厂1回合化工II线线路迁改工程</w:t>
      </w:r>
      <w:r>
        <w:rPr>
          <w:rFonts w:hint="eastAsia" w:ascii="宋体" w:hAnsi="宋体"/>
          <w:color w:val="auto"/>
          <w:szCs w:val="21"/>
        </w:rPr>
        <w:t>进行邀请招标。</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项目编号：</w:t>
      </w:r>
      <w:r>
        <w:rPr>
          <w:rFonts w:hint="eastAsia" w:ascii="宋体" w:hAnsi="宋体"/>
          <w:color w:val="auto"/>
          <w:szCs w:val="21"/>
        </w:rPr>
        <w:t>（项目编号）</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项目名称：乳源电化厂1回合化工II线线路迁改工程</w:t>
      </w:r>
    </w:p>
    <w:p>
      <w:pPr>
        <w:numPr>
          <w:ilvl w:val="0"/>
          <w:numId w:val="1"/>
        </w:numPr>
        <w:autoSpaceDE w:val="0"/>
        <w:autoSpaceDN w:val="0"/>
        <w:adjustRightInd w:val="0"/>
        <w:snapToGrid w:val="0"/>
        <w:spacing w:line="360" w:lineRule="auto"/>
        <w:rPr>
          <w:rStyle w:val="26"/>
          <w:color w:val="auto"/>
          <w:szCs w:val="24"/>
        </w:rPr>
      </w:pPr>
      <w:r>
        <w:rPr>
          <w:rFonts w:hint="eastAsia" w:ascii="宋体" w:hAnsi="宋体"/>
          <w:color w:val="auto"/>
          <w:szCs w:val="21"/>
        </w:rPr>
        <w:t>项目内容及需求简述：</w:t>
      </w:r>
    </w:p>
    <w:p>
      <w:pPr>
        <w:autoSpaceDE w:val="0"/>
        <w:autoSpaceDN w:val="0"/>
        <w:adjustRightInd w:val="0"/>
        <w:snapToGrid w:val="0"/>
        <w:spacing w:line="360" w:lineRule="auto"/>
        <w:rPr>
          <w:rStyle w:val="26"/>
          <w:rFonts w:ascii="宋体" w:hAnsi="宋体"/>
          <w:color w:val="auto"/>
        </w:rPr>
      </w:pPr>
      <w:r>
        <w:rPr>
          <w:rFonts w:hint="eastAsia" w:ascii="宋体" w:hAnsi="宋体"/>
          <w:color w:val="auto"/>
          <w:szCs w:val="21"/>
        </w:rPr>
        <w:t>招标</w:t>
      </w:r>
      <w:r>
        <w:rPr>
          <w:rStyle w:val="26"/>
          <w:rFonts w:hint="eastAsia" w:ascii="宋体" w:hAnsi="宋体"/>
          <w:color w:val="auto"/>
        </w:rPr>
        <w:t>内容：</w:t>
      </w:r>
      <w:r>
        <w:rPr>
          <w:rFonts w:hint="eastAsia" w:ascii="宋体" w:hAnsi="宋体"/>
          <w:color w:val="auto"/>
          <w:szCs w:val="21"/>
        </w:rPr>
        <w:t>乳源电化厂1回合化工II线线路迁改工程</w:t>
      </w:r>
      <w:r>
        <w:rPr>
          <w:rStyle w:val="26"/>
          <w:rFonts w:hint="eastAsia" w:ascii="宋体" w:hAnsi="宋体"/>
          <w:color w:val="auto"/>
        </w:rPr>
        <w:t>；</w:t>
      </w:r>
    </w:p>
    <w:p>
      <w:pPr>
        <w:autoSpaceDE w:val="0"/>
        <w:autoSpaceDN w:val="0"/>
        <w:adjustRightInd w:val="0"/>
        <w:snapToGrid w:val="0"/>
        <w:spacing w:line="360" w:lineRule="auto"/>
        <w:rPr>
          <w:rStyle w:val="26"/>
          <w:rFonts w:ascii="宋体" w:hAnsi="宋体"/>
          <w:color w:val="auto"/>
        </w:rPr>
      </w:pPr>
      <w:r>
        <w:rPr>
          <w:rFonts w:hint="eastAsia"/>
          <w:color w:val="auto"/>
          <w:szCs w:val="21"/>
        </w:rPr>
        <w:t>建设地点：</w:t>
      </w:r>
      <w:r>
        <w:rPr>
          <w:rStyle w:val="26"/>
          <w:rFonts w:hint="eastAsia" w:ascii="宋体" w:hAnsi="宋体"/>
          <w:color w:val="auto"/>
        </w:rPr>
        <w:t>鑫源环保金属科技有限公司厂界；</w:t>
      </w:r>
    </w:p>
    <w:p>
      <w:pPr>
        <w:autoSpaceDE w:val="0"/>
        <w:autoSpaceDN w:val="0"/>
        <w:adjustRightInd w:val="0"/>
        <w:snapToGrid w:val="0"/>
        <w:spacing w:line="360" w:lineRule="auto"/>
        <w:rPr>
          <w:rStyle w:val="26"/>
          <w:rFonts w:ascii="宋体" w:hAnsi="宋体"/>
          <w:color w:val="auto"/>
        </w:rPr>
      </w:pPr>
      <w:r>
        <w:rPr>
          <w:rFonts w:hint="eastAsia"/>
          <w:color w:val="auto"/>
          <w:szCs w:val="21"/>
        </w:rPr>
        <w:t>计划工期：</w:t>
      </w:r>
      <w:r>
        <w:rPr>
          <w:rStyle w:val="26"/>
          <w:rFonts w:hint="eastAsia" w:ascii="宋体" w:hAnsi="宋体"/>
          <w:color w:val="auto"/>
        </w:rPr>
        <w:t>45个日历天；</w:t>
      </w:r>
    </w:p>
    <w:p>
      <w:pPr>
        <w:autoSpaceDE w:val="0"/>
        <w:autoSpaceDN w:val="0"/>
        <w:adjustRightInd w:val="0"/>
        <w:snapToGrid w:val="0"/>
        <w:spacing w:line="360" w:lineRule="auto"/>
        <w:rPr>
          <w:rStyle w:val="26"/>
          <w:rFonts w:ascii="宋体" w:hAnsi="宋体"/>
          <w:color w:val="auto"/>
        </w:rPr>
      </w:pPr>
      <w:r>
        <w:rPr>
          <w:rFonts w:hint="eastAsia"/>
          <w:color w:val="auto"/>
          <w:szCs w:val="21"/>
        </w:rPr>
        <w:t>招标范围：</w:t>
      </w:r>
      <w:r>
        <w:rPr>
          <w:rStyle w:val="26"/>
          <w:rFonts w:hint="eastAsia" w:ascii="宋体" w:hAnsi="宋体"/>
          <w:color w:val="auto"/>
        </w:rPr>
        <w:t>安装工程、拆除工程等工程量清单包含内容；</w:t>
      </w:r>
    </w:p>
    <w:p>
      <w:pPr>
        <w:autoSpaceDE w:val="0"/>
        <w:autoSpaceDN w:val="0"/>
        <w:adjustRightInd w:val="0"/>
        <w:snapToGrid w:val="0"/>
        <w:spacing w:line="360" w:lineRule="auto"/>
        <w:rPr>
          <w:rStyle w:val="26"/>
          <w:color w:val="auto"/>
          <w:szCs w:val="24"/>
        </w:rPr>
      </w:pPr>
      <w:r>
        <w:rPr>
          <w:rFonts w:hint="eastAsia"/>
          <w:color w:val="auto"/>
          <w:szCs w:val="21"/>
        </w:rPr>
        <w:t>质量要求：</w:t>
      </w:r>
      <w:r>
        <w:rPr>
          <w:rFonts w:hint="eastAsia"/>
          <w:color w:val="auto"/>
        </w:rPr>
        <w:t>达到国家现行有关工程规范、规程和标准并办理线路移交供电部门的相关手续。</w:t>
      </w:r>
    </w:p>
    <w:p>
      <w:pPr>
        <w:numPr>
          <w:ilvl w:val="0"/>
          <w:numId w:val="1"/>
        </w:numPr>
        <w:autoSpaceDE w:val="0"/>
        <w:autoSpaceDN w:val="0"/>
        <w:adjustRightInd w:val="0"/>
        <w:snapToGrid w:val="0"/>
        <w:spacing w:line="360" w:lineRule="auto"/>
        <w:rPr>
          <w:color w:val="auto"/>
        </w:rPr>
      </w:pPr>
      <w:r>
        <w:rPr>
          <w:rFonts w:hint="eastAsia" w:ascii="宋体" w:hAnsi="宋体"/>
          <w:color w:val="auto"/>
          <w:szCs w:val="21"/>
        </w:rPr>
        <w:t>建设内容：</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安装工程量：</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新建部分：隔离刀闸HGW9-10/630A-2组，高压避雷器HY5WS-17/50-2组，高压电缆ZRC-YJV22-8.7/15kV-3×300-</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112m，户外高压电缆头3×300-2套，铁塔JG2-18-1座，铁塔基础-1座，地脚螺栓M52-1套，电缆埋管1×2列行车-</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81m，1×2列行人直线井-1座，1×2列行车转角井-3座，高压架空线路LGJX-240-252m（利旧），高压引下线JKLYJ-</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240-90m，高压架空导线JL/G1A-70/10-528m，电杆S1-JM3-15-1基，电缆上杆装置-1套，电缆上塔装置-1套，瓷横担-</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21支，C型线夹CT-240-240-24个，C型线夹CT-70-70-24个，杆塔设备接地网-2组，电缆沟接地网-81m，调试-1套，电</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力设施号牌-1套，运输-1项，其他材料详见各相关图纸。</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拆除工程量：</w:t>
      </w:r>
    </w:p>
    <w:p>
      <w:pPr>
        <w:autoSpaceDE w:val="0"/>
        <w:autoSpaceDN w:val="0"/>
        <w:adjustRightInd w:val="0"/>
        <w:snapToGrid w:val="0"/>
        <w:spacing w:line="360" w:lineRule="auto"/>
        <w:ind w:left="420"/>
        <w:rPr>
          <w:rStyle w:val="26"/>
          <w:rFonts w:ascii="宋体" w:hAnsi="宋体"/>
          <w:color w:val="auto"/>
        </w:rPr>
      </w:pPr>
      <w:r>
        <w:rPr>
          <w:rStyle w:val="26"/>
          <w:rFonts w:hint="eastAsia" w:ascii="宋体" w:hAnsi="宋体"/>
          <w:color w:val="auto"/>
        </w:rPr>
        <w:t>拆除高压架空线路LGJX-240-411m（利旧252m），玻璃式绝缘子串-3串，防震锤-3只，高压架空线路LGJ-50-414m。</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项目预算：</w:t>
      </w:r>
      <w:r>
        <w:rPr>
          <w:rFonts w:hint="eastAsia" w:ascii="宋体" w:hAnsi="宋体"/>
          <w:color w:val="auto"/>
          <w:szCs w:val="21"/>
          <w:u w:val="single"/>
        </w:rPr>
        <w:t>人民币</w:t>
      </w:r>
      <w:r>
        <w:rPr>
          <w:rFonts w:ascii="宋体" w:hAnsi="宋体"/>
          <w:color w:val="auto"/>
          <w:szCs w:val="21"/>
          <w:u w:val="single"/>
        </w:rPr>
        <w:t>548,131.15</w:t>
      </w:r>
      <w:r>
        <w:rPr>
          <w:rFonts w:hint="eastAsia" w:ascii="宋体" w:hAnsi="宋体"/>
          <w:color w:val="auto"/>
          <w:szCs w:val="21"/>
          <w:u w:val="single"/>
        </w:rPr>
        <w:t>元</w:t>
      </w:r>
      <w:r>
        <w:rPr>
          <w:rFonts w:hint="eastAsia" w:ascii="宋体" w:hAnsi="宋体"/>
          <w:color w:val="auto"/>
          <w:szCs w:val="21"/>
        </w:rPr>
        <w:t>；</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投标申请人资格要求：</w:t>
      </w:r>
    </w:p>
    <w:p>
      <w:pPr>
        <w:numPr>
          <w:ilvl w:val="1"/>
          <w:numId w:val="2"/>
        </w:numPr>
        <w:tabs>
          <w:tab w:val="left" w:pos="840"/>
        </w:tabs>
        <w:adjustRightInd w:val="0"/>
        <w:snapToGrid w:val="0"/>
        <w:spacing w:line="360" w:lineRule="auto"/>
        <w:rPr>
          <w:rFonts w:ascii="宋体" w:hAnsi="宋体"/>
          <w:bCs/>
          <w:color w:val="auto"/>
          <w:szCs w:val="21"/>
        </w:rPr>
      </w:pPr>
      <w:r>
        <w:rPr>
          <w:rFonts w:ascii="宋体" w:hAnsi="宋体"/>
          <w:bCs/>
          <w:color w:val="auto"/>
          <w:szCs w:val="20"/>
        </w:rPr>
        <w:t>具有独立承担民事责任的能力</w:t>
      </w:r>
      <w:r>
        <w:rPr>
          <w:rFonts w:hint="eastAsia" w:ascii="宋体" w:hAnsi="宋体"/>
          <w:bCs/>
          <w:color w:val="auto"/>
          <w:szCs w:val="20"/>
        </w:rPr>
        <w:t>（提供</w:t>
      </w:r>
      <w:r>
        <w:rPr>
          <w:rFonts w:hint="eastAsia"/>
          <w:bCs/>
          <w:color w:val="auto"/>
        </w:rPr>
        <w:t>法人或者其他组织的营业执照、</w:t>
      </w:r>
      <w:r>
        <w:rPr>
          <w:bCs/>
          <w:color w:val="auto"/>
        </w:rPr>
        <w:t>组织机构代码证和税务登记证</w:t>
      </w:r>
      <w:r>
        <w:rPr>
          <w:rFonts w:hint="eastAsia"/>
          <w:bCs/>
          <w:color w:val="auto"/>
        </w:rPr>
        <w:t>（或多证合一证明）证明文件</w:t>
      </w:r>
      <w:r>
        <w:rPr>
          <w:rFonts w:hint="eastAsia" w:hAnsi="宋体"/>
          <w:bCs/>
          <w:color w:val="auto"/>
          <w:szCs w:val="20"/>
        </w:rPr>
        <w:t>复印件</w:t>
      </w:r>
      <w:r>
        <w:rPr>
          <w:rFonts w:hint="eastAsia" w:ascii="宋体" w:hAnsi="宋体"/>
          <w:bCs/>
          <w:color w:val="auto"/>
          <w:szCs w:val="20"/>
        </w:rPr>
        <w:t>）</w:t>
      </w:r>
      <w:r>
        <w:rPr>
          <w:rFonts w:hint="eastAsia" w:ascii="宋体" w:hAnsi="宋体"/>
          <w:bCs/>
          <w:color w:val="auto"/>
          <w:szCs w:val="21"/>
        </w:rPr>
        <w:t>；</w:t>
      </w:r>
    </w:p>
    <w:p>
      <w:pPr>
        <w:numPr>
          <w:ilvl w:val="1"/>
          <w:numId w:val="2"/>
        </w:numPr>
        <w:tabs>
          <w:tab w:val="left" w:pos="840"/>
        </w:tabs>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电力工程承装五级或以上资质；</w:t>
      </w:r>
      <w:bookmarkStart w:id="185" w:name="_GoBack"/>
      <w:bookmarkEnd w:id="185"/>
    </w:p>
    <w:p>
      <w:pPr>
        <w:numPr>
          <w:ilvl w:val="1"/>
          <w:numId w:val="2"/>
        </w:numPr>
        <w:tabs>
          <w:tab w:val="left" w:pos="840"/>
        </w:tabs>
        <w:adjustRightInd w:val="0"/>
        <w:snapToGrid w:val="0"/>
        <w:spacing w:line="360" w:lineRule="auto"/>
        <w:rPr>
          <w:rFonts w:ascii="宋体" w:hAnsi="宋体"/>
          <w:bCs/>
          <w:color w:val="auto"/>
          <w:szCs w:val="21"/>
        </w:rPr>
      </w:pPr>
      <w:r>
        <w:rPr>
          <w:rFonts w:hint="eastAsia" w:ascii="宋体" w:hAnsi="宋体"/>
          <w:bCs/>
          <w:color w:val="auto"/>
          <w:szCs w:val="21"/>
        </w:rPr>
        <w:t>韶关供电局系统备案施工企业,</w:t>
      </w:r>
      <w:r>
        <w:rPr>
          <w:rFonts w:hint="eastAsia" w:hAnsi="宋体"/>
          <w:bCs/>
          <w:color w:val="auto"/>
          <w:szCs w:val="21"/>
        </w:rPr>
        <w:t xml:space="preserve"> 在中国南方电网有限责任公司阳光电子商务平台系统注册截图</w:t>
      </w:r>
      <w:r>
        <w:rPr>
          <w:rFonts w:hint="eastAsia" w:ascii="宋体" w:hAnsi="宋体"/>
          <w:bCs/>
          <w:color w:val="auto"/>
          <w:szCs w:val="21"/>
        </w:rPr>
        <w:t>；</w:t>
      </w:r>
    </w:p>
    <w:p>
      <w:pPr>
        <w:numPr>
          <w:ilvl w:val="1"/>
          <w:numId w:val="2"/>
        </w:numPr>
        <w:tabs>
          <w:tab w:val="left" w:pos="840"/>
        </w:tabs>
        <w:adjustRightInd w:val="0"/>
        <w:snapToGrid w:val="0"/>
        <w:spacing w:line="360" w:lineRule="auto"/>
        <w:rPr>
          <w:rFonts w:ascii="宋体" w:hAnsi="宋体"/>
          <w:bCs/>
          <w:color w:val="auto"/>
          <w:szCs w:val="21"/>
        </w:rPr>
      </w:pPr>
      <w:r>
        <w:rPr>
          <w:rFonts w:hint="eastAsia" w:hAnsi="宋体"/>
          <w:bCs/>
          <w:color w:val="auto"/>
          <w:szCs w:val="21"/>
        </w:rPr>
        <w:t>提供企业在韶关市的驻点机构注册资料或现场驻点房产证明、租赁证明；</w:t>
      </w:r>
    </w:p>
    <w:p>
      <w:pPr>
        <w:numPr>
          <w:ilvl w:val="1"/>
          <w:numId w:val="2"/>
        </w:numPr>
        <w:tabs>
          <w:tab w:val="left" w:pos="840"/>
        </w:tabs>
        <w:adjustRightInd w:val="0"/>
        <w:snapToGrid w:val="0"/>
        <w:spacing w:line="360" w:lineRule="auto"/>
        <w:rPr>
          <w:rFonts w:ascii="宋体" w:hAnsi="宋体"/>
          <w:bCs/>
          <w:color w:val="auto"/>
          <w:szCs w:val="21"/>
        </w:rPr>
      </w:pPr>
      <w:r>
        <w:rPr>
          <w:rFonts w:hint="eastAsia" w:ascii="宋体" w:hAnsi="宋体"/>
          <w:bCs/>
          <w:color w:val="auto"/>
          <w:szCs w:val="21"/>
        </w:rPr>
        <w:t>安全生产许可证；</w:t>
      </w:r>
    </w:p>
    <w:p>
      <w:pPr>
        <w:numPr>
          <w:ilvl w:val="1"/>
          <w:numId w:val="2"/>
        </w:numPr>
        <w:tabs>
          <w:tab w:val="left" w:pos="840"/>
        </w:tabs>
        <w:adjustRightInd w:val="0"/>
        <w:snapToGrid w:val="0"/>
        <w:spacing w:line="360" w:lineRule="auto"/>
        <w:rPr>
          <w:bCs/>
          <w:color w:val="auto"/>
          <w:szCs w:val="21"/>
        </w:rPr>
      </w:pPr>
      <w:r>
        <w:rPr>
          <w:rFonts w:hint="eastAsia"/>
          <w:bCs/>
          <w:color w:val="auto"/>
          <w:szCs w:val="21"/>
        </w:rPr>
        <w:t>本项目不接受联合体投标。</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邀请招标文件的获取期限和方式：</w:t>
      </w:r>
    </w:p>
    <w:p>
      <w:pPr>
        <w:adjustRightInd w:val="0"/>
        <w:snapToGrid w:val="0"/>
        <w:spacing w:line="360" w:lineRule="auto"/>
        <w:ind w:firstLine="441" w:firstLineChars="210"/>
        <w:rPr>
          <w:rFonts w:ascii="宋体" w:hAnsi="宋体"/>
          <w:color w:val="auto"/>
          <w:szCs w:val="21"/>
        </w:rPr>
      </w:pPr>
      <w:r>
        <w:rPr>
          <w:rFonts w:hint="eastAsia" w:ascii="宋体" w:hAnsi="宋体"/>
          <w:color w:val="auto"/>
          <w:szCs w:val="21"/>
        </w:rPr>
        <w:t>被邀请投标人收到《邀请函》后，</w:t>
      </w:r>
      <w:r>
        <w:rPr>
          <w:rFonts w:hint="eastAsia"/>
          <w:b/>
          <w:color w:val="auto"/>
          <w:szCs w:val="21"/>
        </w:rPr>
        <w:t>请于</w:t>
      </w:r>
      <w:r>
        <w:rPr>
          <w:rFonts w:hint="eastAsia" w:ascii="宋体" w:hAnsi="宋体"/>
          <w:bCs/>
          <w:color w:val="auto"/>
          <w:szCs w:val="21"/>
        </w:rPr>
        <w:t>20</w:t>
      </w:r>
      <w:r>
        <w:rPr>
          <w:rFonts w:hint="eastAsia" w:ascii="宋体" w:hAnsi="宋体"/>
          <w:bCs/>
          <w:color w:val="auto"/>
          <w:szCs w:val="21"/>
          <w:lang w:val="en-US" w:eastAsia="zh-CN"/>
        </w:rPr>
        <w:t>22</w:t>
      </w:r>
      <w:r>
        <w:rPr>
          <w:rFonts w:hint="eastAsia" w:ascii="宋体" w:hAnsi="宋体"/>
          <w:bCs/>
          <w:color w:val="auto"/>
          <w:szCs w:val="21"/>
        </w:rPr>
        <w:t>年</w:t>
      </w:r>
      <w:r>
        <w:rPr>
          <w:rFonts w:hint="eastAsia" w:ascii="宋体" w:hAnsi="宋体"/>
          <w:bCs/>
          <w:color w:val="auto"/>
          <w:szCs w:val="21"/>
          <w:lang w:val="en-US" w:eastAsia="zh-CN"/>
        </w:rPr>
        <w:t>2</w:t>
      </w:r>
      <w:r>
        <w:rPr>
          <w:rFonts w:hint="eastAsia" w:ascii="宋体" w:hAnsi="宋体"/>
          <w:bCs/>
          <w:color w:val="auto"/>
          <w:szCs w:val="21"/>
        </w:rPr>
        <w:t>月</w:t>
      </w:r>
      <w:r>
        <w:rPr>
          <w:rFonts w:hint="eastAsia" w:ascii="宋体" w:hAnsi="宋体"/>
          <w:bCs/>
          <w:color w:val="auto"/>
          <w:szCs w:val="21"/>
          <w:lang w:val="en-US" w:eastAsia="zh-CN"/>
        </w:rPr>
        <w:t>19</w:t>
      </w:r>
      <w:r>
        <w:rPr>
          <w:rFonts w:hint="eastAsia" w:ascii="宋体" w:hAnsi="宋体"/>
          <w:bCs/>
          <w:color w:val="auto"/>
          <w:szCs w:val="21"/>
        </w:rPr>
        <w:t>日</w:t>
      </w:r>
      <w:r>
        <w:rPr>
          <w:rFonts w:hint="eastAsia" w:ascii="宋体" w:hAnsi="宋体"/>
          <w:bCs/>
          <w:color w:val="auto"/>
          <w:szCs w:val="21"/>
          <w:lang w:val="en-US" w:eastAsia="zh-CN"/>
        </w:rPr>
        <w:t>09</w:t>
      </w:r>
      <w:r>
        <w:rPr>
          <w:rFonts w:hint="eastAsia" w:ascii="宋体" w:hAnsi="宋体"/>
          <w:color w:val="auto"/>
          <w:szCs w:val="21"/>
        </w:rPr>
        <w:t>时</w:t>
      </w:r>
      <w:r>
        <w:rPr>
          <w:rFonts w:hint="eastAsia" w:ascii="宋体" w:hAnsi="宋体"/>
          <w:color w:val="auto"/>
          <w:szCs w:val="21"/>
          <w:lang w:val="en-US" w:eastAsia="zh-CN"/>
        </w:rPr>
        <w:t>21</w:t>
      </w:r>
      <w:r>
        <w:rPr>
          <w:rFonts w:hint="eastAsia" w:ascii="宋体" w:hAnsi="宋体"/>
          <w:color w:val="auto"/>
          <w:szCs w:val="21"/>
        </w:rPr>
        <w:t>分</w:t>
      </w:r>
      <w:r>
        <w:rPr>
          <w:rFonts w:hint="eastAsia"/>
          <w:b/>
          <w:color w:val="auto"/>
          <w:szCs w:val="21"/>
        </w:rPr>
        <w:t>前</w:t>
      </w:r>
      <w:r>
        <w:rPr>
          <w:rFonts w:hint="eastAsia" w:ascii="宋体" w:hAnsi="宋体"/>
          <w:color w:val="auto"/>
          <w:szCs w:val="21"/>
        </w:rPr>
        <w:t>到</w:t>
      </w:r>
      <w:r>
        <w:rPr>
          <w:rFonts w:hint="eastAsia" w:ascii="宋体"/>
          <w:bCs/>
          <w:color w:val="auto"/>
          <w:szCs w:val="20"/>
        </w:rPr>
        <w:t>乳源瑶族自治县侯公渡官溪电站路口乳源瑶族自治县鑫源环保金属科技有限公司</w:t>
      </w:r>
      <w:r>
        <w:rPr>
          <w:rFonts w:hint="eastAsia" w:ascii="宋体" w:hAnsi="宋体"/>
          <w:color w:val="auto"/>
          <w:szCs w:val="21"/>
        </w:rPr>
        <w:t>获取邀请招标文件</w:t>
      </w:r>
      <w:r>
        <w:rPr>
          <w:rFonts w:hint="eastAsia"/>
          <w:b/>
          <w:color w:val="auto"/>
          <w:szCs w:val="21"/>
        </w:rPr>
        <w:t>，并以书面形式确认是否参加投标。在本邀请书规定的时间内未表示是否参加投标或明确表示不参加投标的，不得再参加投标。</w:t>
      </w:r>
    </w:p>
    <w:p>
      <w:pPr>
        <w:numPr>
          <w:ilvl w:val="0"/>
          <w:numId w:val="1"/>
        </w:numPr>
        <w:tabs>
          <w:tab w:val="left" w:pos="426"/>
          <w:tab w:val="clear" w:pos="420"/>
        </w:tabs>
        <w:autoSpaceDE w:val="0"/>
        <w:autoSpaceDN w:val="0"/>
        <w:adjustRightInd w:val="0"/>
        <w:snapToGrid w:val="0"/>
        <w:spacing w:line="360" w:lineRule="auto"/>
        <w:rPr>
          <w:rFonts w:ascii="宋体" w:hAnsi="宋体"/>
          <w:color w:val="auto"/>
          <w:szCs w:val="21"/>
        </w:rPr>
      </w:pPr>
      <w:r>
        <w:rPr>
          <w:rFonts w:hint="eastAsia" w:ascii="宋体" w:hAnsi="宋体"/>
          <w:b/>
          <w:color w:val="auto"/>
          <w:szCs w:val="21"/>
        </w:rPr>
        <w:t>本项目只接受收到邀请函的投标人报名。</w:t>
      </w:r>
    </w:p>
    <w:p>
      <w:pPr>
        <w:numPr>
          <w:ilvl w:val="0"/>
          <w:numId w:val="1"/>
        </w:numPr>
        <w:tabs>
          <w:tab w:val="left" w:pos="426"/>
          <w:tab w:val="clear" w:pos="420"/>
        </w:tabs>
        <w:autoSpaceDE w:val="0"/>
        <w:autoSpaceDN w:val="0"/>
        <w:adjustRightInd w:val="0"/>
        <w:snapToGrid w:val="0"/>
        <w:spacing w:line="360" w:lineRule="auto"/>
        <w:rPr>
          <w:rFonts w:ascii="宋体" w:hAnsi="宋体"/>
          <w:color w:val="auto"/>
          <w:szCs w:val="21"/>
        </w:rPr>
      </w:pPr>
      <w:r>
        <w:rPr>
          <w:rFonts w:hint="eastAsia" w:ascii="宋体"/>
          <w:bCs/>
          <w:color w:val="auto"/>
          <w:szCs w:val="20"/>
        </w:rPr>
        <w:t>本项目招标结果以向本项目投标人发出的《招标结果通知书》为准。</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投标时间：</w:t>
      </w:r>
      <w:r>
        <w:rPr>
          <w:rFonts w:hint="eastAsia" w:ascii="宋体" w:hAnsi="宋体"/>
          <w:bCs/>
          <w:color w:val="auto"/>
          <w:szCs w:val="21"/>
        </w:rPr>
        <w:t>2022年</w:t>
      </w:r>
      <w:r>
        <w:rPr>
          <w:rFonts w:hint="eastAsia" w:ascii="宋体" w:hAnsi="宋体"/>
          <w:bCs/>
          <w:color w:val="auto"/>
          <w:szCs w:val="21"/>
          <w:lang w:val="en-US" w:eastAsia="zh-CN"/>
        </w:rPr>
        <w:t>2</w:t>
      </w:r>
      <w:r>
        <w:rPr>
          <w:rFonts w:hint="eastAsia" w:ascii="宋体" w:hAnsi="宋体"/>
          <w:bCs/>
          <w:color w:val="auto"/>
          <w:szCs w:val="21"/>
        </w:rPr>
        <w:t>月</w:t>
      </w:r>
      <w:r>
        <w:rPr>
          <w:rFonts w:hint="eastAsia" w:ascii="宋体" w:hAnsi="宋体"/>
          <w:bCs/>
          <w:color w:val="auto"/>
          <w:szCs w:val="21"/>
          <w:lang w:val="en-US" w:eastAsia="zh-CN"/>
        </w:rPr>
        <w:t>22</w:t>
      </w:r>
      <w:r>
        <w:rPr>
          <w:rFonts w:hint="eastAsia" w:ascii="宋体" w:hAnsi="宋体"/>
          <w:bCs/>
          <w:color w:val="auto"/>
          <w:szCs w:val="21"/>
        </w:rPr>
        <w:t>日</w:t>
      </w: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w:t>
      </w:r>
      <w:r>
        <w:rPr>
          <w:rFonts w:hint="eastAsia" w:ascii="宋体" w:hAnsi="宋体"/>
          <w:color w:val="auto"/>
          <w:szCs w:val="21"/>
          <w:lang w:val="en-US" w:eastAsia="zh-CN"/>
        </w:rPr>
        <w:t>0</w:t>
      </w:r>
      <w:r>
        <w:rPr>
          <w:rFonts w:hint="eastAsia" w:ascii="宋体" w:hAnsi="宋体"/>
          <w:color w:val="auto"/>
          <w:szCs w:val="21"/>
        </w:rPr>
        <w:t>0</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投标截止及开标时间:</w:t>
      </w:r>
      <w:r>
        <w:rPr>
          <w:rFonts w:hint="eastAsia" w:ascii="宋体" w:hAnsi="宋体"/>
          <w:bCs/>
          <w:color w:val="auto"/>
          <w:szCs w:val="21"/>
        </w:rPr>
        <w:t xml:space="preserve"> 2022年</w:t>
      </w:r>
      <w:r>
        <w:rPr>
          <w:rFonts w:hint="eastAsia" w:ascii="宋体" w:hAnsi="宋体"/>
          <w:bCs/>
          <w:color w:val="auto"/>
          <w:szCs w:val="21"/>
          <w:lang w:val="en-US" w:eastAsia="zh-CN"/>
        </w:rPr>
        <w:t>2</w:t>
      </w:r>
      <w:r>
        <w:rPr>
          <w:rFonts w:hint="eastAsia" w:ascii="宋体" w:hAnsi="宋体"/>
          <w:bCs/>
          <w:color w:val="auto"/>
          <w:szCs w:val="21"/>
        </w:rPr>
        <w:t>月</w:t>
      </w:r>
      <w:r>
        <w:rPr>
          <w:rFonts w:hint="eastAsia" w:ascii="宋体" w:hAnsi="宋体"/>
          <w:bCs/>
          <w:color w:val="auto"/>
          <w:szCs w:val="21"/>
          <w:lang w:val="en-US" w:eastAsia="zh-CN"/>
        </w:rPr>
        <w:t>21</w:t>
      </w:r>
      <w:r>
        <w:rPr>
          <w:rFonts w:hint="eastAsia" w:ascii="宋体" w:hAnsi="宋体"/>
          <w:bCs/>
          <w:color w:val="auto"/>
          <w:szCs w:val="21"/>
        </w:rPr>
        <w:t>日</w:t>
      </w:r>
      <w:r>
        <w:rPr>
          <w:rFonts w:hint="eastAsia" w:ascii="宋体" w:hAnsi="宋体"/>
          <w:color w:val="auto"/>
          <w:szCs w:val="21"/>
        </w:rPr>
        <w:t>1</w:t>
      </w:r>
      <w:r>
        <w:rPr>
          <w:rFonts w:hint="eastAsia" w:ascii="宋体" w:hAnsi="宋体"/>
          <w:color w:val="auto"/>
          <w:szCs w:val="21"/>
          <w:lang w:val="en-US" w:eastAsia="zh-CN"/>
        </w:rPr>
        <w:t>0</w:t>
      </w:r>
      <w:r>
        <w:rPr>
          <w:rFonts w:hint="eastAsia" w:ascii="宋体" w:hAnsi="宋体"/>
          <w:color w:val="auto"/>
          <w:szCs w:val="21"/>
        </w:rPr>
        <w:t>：00</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投标及开标地点：乳源瑶族自治县侯公渡官溪电站路口乳源瑶族自治县鑫源环保金属科技有限公司。</w:t>
      </w:r>
    </w:p>
    <w:p>
      <w:pPr>
        <w:numPr>
          <w:ilvl w:val="0"/>
          <w:numId w:val="1"/>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联系方式：</w:t>
      </w:r>
    </w:p>
    <w:p>
      <w:pPr>
        <w:tabs>
          <w:tab w:val="left" w:pos="1843"/>
        </w:tabs>
        <w:adjustRightInd w:val="0"/>
        <w:snapToGrid w:val="0"/>
        <w:spacing w:line="360" w:lineRule="auto"/>
        <w:ind w:left="425"/>
        <w:rPr>
          <w:rFonts w:ascii="宋体" w:hAnsi="宋体"/>
          <w:color w:val="auto"/>
          <w:szCs w:val="21"/>
        </w:rPr>
      </w:pPr>
      <w:r>
        <w:rPr>
          <w:rFonts w:hint="eastAsia" w:ascii="宋体" w:hAnsi="宋体"/>
          <w:color w:val="auto"/>
          <w:szCs w:val="21"/>
        </w:rPr>
        <w:t>联系人：胡忠良                 联系方式：13965208853</w:t>
      </w:r>
    </w:p>
    <w:p>
      <w:pPr>
        <w:tabs>
          <w:tab w:val="left" w:pos="1843"/>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电邮：        传真：</w:t>
      </w:r>
    </w:p>
    <w:p>
      <w:pPr>
        <w:adjustRightInd w:val="0"/>
        <w:snapToGrid w:val="0"/>
        <w:spacing w:line="360" w:lineRule="auto"/>
        <w:ind w:firstLine="435"/>
        <w:jc w:val="right"/>
        <w:rPr>
          <w:rFonts w:ascii="宋体"/>
          <w:b/>
          <w:bCs/>
          <w:color w:val="auto"/>
          <w:szCs w:val="20"/>
        </w:rPr>
      </w:pPr>
      <w:r>
        <w:rPr>
          <w:rFonts w:hint="eastAsia" w:ascii="宋体"/>
          <w:b/>
          <w:bCs/>
          <w:color w:val="auto"/>
          <w:szCs w:val="20"/>
        </w:rPr>
        <w:t>乳源瑶族自治县鑫源环保金属科技有限公司</w:t>
      </w:r>
    </w:p>
    <w:p>
      <w:pPr>
        <w:wordWrap w:val="0"/>
        <w:adjustRightInd w:val="0"/>
        <w:snapToGrid w:val="0"/>
        <w:spacing w:line="360" w:lineRule="auto"/>
        <w:ind w:firstLine="435"/>
        <w:jc w:val="right"/>
        <w:rPr>
          <w:rFonts w:ascii="宋体" w:hAnsi="宋体"/>
          <w:b/>
          <w:color w:val="auto"/>
        </w:rPr>
      </w:pPr>
      <w:r>
        <w:rPr>
          <w:rFonts w:hint="eastAsia" w:ascii="宋体" w:hAnsi="宋体"/>
          <w:b/>
          <w:color w:val="auto"/>
        </w:rPr>
        <w:t>2022年</w:t>
      </w:r>
      <w:r>
        <w:rPr>
          <w:rFonts w:hint="eastAsia" w:ascii="宋体" w:hAnsi="宋体"/>
          <w:b/>
          <w:color w:val="auto"/>
          <w:lang w:val="en-US" w:eastAsia="zh-CN"/>
        </w:rPr>
        <w:t>2</w:t>
      </w:r>
      <w:r>
        <w:rPr>
          <w:rFonts w:hint="eastAsia" w:ascii="宋体" w:hAnsi="宋体"/>
          <w:b/>
          <w:color w:val="auto"/>
        </w:rPr>
        <w:t>月</w:t>
      </w:r>
      <w:r>
        <w:rPr>
          <w:rFonts w:hint="eastAsia" w:ascii="宋体" w:hAnsi="宋体"/>
          <w:b/>
          <w:color w:val="auto"/>
          <w:lang w:val="en-US" w:eastAsia="zh-CN"/>
        </w:rPr>
        <w:t>14</w:t>
      </w:r>
      <w:r>
        <w:rPr>
          <w:rFonts w:hint="eastAsia" w:ascii="宋体" w:hAnsi="宋体"/>
          <w:b/>
          <w:color w:val="auto"/>
        </w:rPr>
        <w:t>日</w:t>
      </w:r>
    </w:p>
    <w:p>
      <w:pPr>
        <w:snapToGrid w:val="0"/>
        <w:spacing w:line="360" w:lineRule="auto"/>
        <w:jc w:val="right"/>
        <w:rPr>
          <w:b/>
          <w:color w:val="auto"/>
        </w:rPr>
        <w:sectPr>
          <w:pgSz w:w="11906" w:h="16838"/>
          <w:pgMar w:top="1091" w:right="1466" w:bottom="1134" w:left="1260" w:header="623" w:footer="567" w:gutter="0"/>
          <w:pgNumType w:start="1"/>
          <w:cols w:space="720" w:num="1"/>
          <w:docGrid w:type="lines" w:linePitch="312" w:charSpace="0"/>
        </w:sectPr>
      </w:pPr>
    </w:p>
    <w:p>
      <w:pPr>
        <w:widowControl/>
        <w:jc w:val="left"/>
        <w:rPr>
          <w:color w:val="auto"/>
          <w:szCs w:val="21"/>
        </w:rPr>
      </w:pPr>
      <w:r>
        <w:rPr>
          <w:rFonts w:hint="eastAsia"/>
          <w:color w:val="auto"/>
          <w:szCs w:val="21"/>
        </w:rPr>
        <w:t>、</w:t>
      </w:r>
    </w:p>
    <w:p>
      <w:pPr>
        <w:spacing w:line="320" w:lineRule="exact"/>
        <w:rPr>
          <w:b/>
          <w:color w:val="auto"/>
          <w:sz w:val="20"/>
          <w:szCs w:val="20"/>
        </w:rPr>
      </w:pPr>
      <w:r>
        <w:rPr>
          <w:rFonts w:ascii="宋体" w:hAnsi="宋体" w:cs="宋体"/>
          <w:b/>
          <w:color w:val="auto"/>
          <w:sz w:val="28"/>
          <w:szCs w:val="28"/>
        </w:rPr>
        <w:t>附件</w:t>
      </w:r>
      <w:r>
        <w:rPr>
          <w:rFonts w:hint="eastAsia" w:ascii="宋体" w:hAnsi="宋体" w:cs="宋体"/>
          <w:b/>
          <w:color w:val="auto"/>
          <w:sz w:val="28"/>
          <w:szCs w:val="28"/>
        </w:rPr>
        <w:t>：</w:t>
      </w:r>
      <w:r>
        <w:rPr>
          <w:rFonts w:ascii="宋体" w:hAnsi="宋体" w:cs="宋体"/>
          <w:b/>
          <w:color w:val="auto"/>
          <w:sz w:val="28"/>
          <w:szCs w:val="28"/>
        </w:rPr>
        <w:t>确认通知</w:t>
      </w:r>
    </w:p>
    <w:p>
      <w:pPr>
        <w:spacing w:line="200" w:lineRule="exact"/>
        <w:rPr>
          <w:color w:val="auto"/>
          <w:sz w:val="20"/>
          <w:szCs w:val="20"/>
        </w:rPr>
      </w:pPr>
    </w:p>
    <w:p>
      <w:pPr>
        <w:spacing w:line="200" w:lineRule="exact"/>
        <w:rPr>
          <w:color w:val="auto"/>
          <w:sz w:val="20"/>
          <w:szCs w:val="20"/>
        </w:rPr>
      </w:pPr>
    </w:p>
    <w:p>
      <w:pPr>
        <w:spacing w:line="201" w:lineRule="exact"/>
        <w:rPr>
          <w:color w:val="auto"/>
          <w:sz w:val="20"/>
          <w:szCs w:val="20"/>
        </w:rPr>
      </w:pPr>
    </w:p>
    <w:p>
      <w:pPr>
        <w:spacing w:line="320" w:lineRule="exact"/>
        <w:ind w:right="-19"/>
        <w:jc w:val="center"/>
        <w:rPr>
          <w:rFonts w:asciiTheme="minorEastAsia" w:hAnsiTheme="minorEastAsia"/>
          <w:b/>
          <w:color w:val="auto"/>
          <w:sz w:val="28"/>
          <w:szCs w:val="28"/>
        </w:rPr>
      </w:pPr>
      <w:r>
        <w:rPr>
          <w:rFonts w:cs="宋体" w:asciiTheme="minorEastAsia" w:hAnsiTheme="minorEastAsia"/>
          <w:b/>
          <w:color w:val="auto"/>
          <w:sz w:val="28"/>
          <w:szCs w:val="28"/>
        </w:rPr>
        <w:t>确认通知</w:t>
      </w:r>
    </w:p>
    <w:p>
      <w:pPr>
        <w:spacing w:line="200" w:lineRule="exact"/>
        <w:rPr>
          <w:rFonts w:asciiTheme="minorEastAsia" w:hAnsiTheme="minorEastAsia"/>
          <w:color w:val="auto"/>
          <w:sz w:val="24"/>
        </w:rPr>
      </w:pPr>
    </w:p>
    <w:p>
      <w:pPr>
        <w:spacing w:line="200" w:lineRule="exact"/>
        <w:rPr>
          <w:rFonts w:asciiTheme="minorEastAsia" w:hAnsiTheme="minorEastAsia"/>
          <w:color w:val="auto"/>
          <w:sz w:val="24"/>
        </w:rPr>
      </w:pPr>
    </w:p>
    <w:p>
      <w:pPr>
        <w:spacing w:line="360" w:lineRule="auto"/>
        <w:rPr>
          <w:rFonts w:asciiTheme="minorEastAsia" w:hAnsiTheme="minorEastAsia"/>
          <w:color w:val="auto"/>
          <w:szCs w:val="21"/>
          <w:u w:val="single"/>
        </w:rPr>
      </w:pPr>
      <w:r>
        <w:rPr>
          <w:rFonts w:hint="eastAsia" w:asciiTheme="minorEastAsia" w:hAnsiTheme="minorEastAsia"/>
          <w:color w:val="auto"/>
          <w:szCs w:val="21"/>
          <w:u w:val="single"/>
        </w:rPr>
        <w:t>乳源瑶族自治县鑫源环保金属科技有限公司：</w:t>
      </w:r>
    </w:p>
    <w:p>
      <w:pPr>
        <w:spacing w:line="360" w:lineRule="auto"/>
        <w:ind w:firstLine="420" w:firstLineChars="200"/>
        <w:rPr>
          <w:rFonts w:asciiTheme="minorEastAsia" w:hAnsiTheme="minorEastAsia"/>
          <w:color w:val="auto"/>
          <w:szCs w:val="21"/>
        </w:rPr>
      </w:pPr>
      <w:r>
        <w:rPr>
          <w:rFonts w:hint="eastAsia" w:asciiTheme="minorEastAsia" w:hAnsiTheme="minorEastAsia"/>
          <w:color w:val="auto"/>
          <w:szCs w:val="21"/>
        </w:rPr>
        <w:t>我方已于年月日收到你方年月日发出的</w:t>
      </w:r>
      <w:r>
        <w:rPr>
          <w:rFonts w:hint="eastAsia" w:asciiTheme="minorEastAsia" w:hAnsiTheme="minorEastAsia"/>
          <w:color w:val="auto"/>
          <w:szCs w:val="21"/>
          <w:u w:val="single"/>
        </w:rPr>
        <w:t>乳源电化厂1回合化工II线线路迁改工程</w:t>
      </w:r>
      <w:r>
        <w:rPr>
          <w:rFonts w:hint="eastAsia" w:asciiTheme="minorEastAsia" w:hAnsiTheme="minorEastAsia"/>
          <w:color w:val="auto"/>
          <w:szCs w:val="21"/>
        </w:rPr>
        <w:t>招标的投标邀请书，并确认</w:t>
      </w:r>
      <w:r>
        <w:rPr>
          <w:rFonts w:hint="eastAsia" w:asciiTheme="minorEastAsia" w:hAnsiTheme="minorEastAsia"/>
          <w:color w:val="auto"/>
          <w:szCs w:val="21"/>
          <w:u w:val="single"/>
        </w:rPr>
        <w:tab/>
      </w:r>
      <w:r>
        <w:rPr>
          <w:rFonts w:hint="eastAsia" w:asciiTheme="minorEastAsia" w:hAnsiTheme="minorEastAsia"/>
          <w:color w:val="auto"/>
          <w:szCs w:val="21"/>
          <w:u w:val="single"/>
        </w:rPr>
        <w:tab/>
      </w:r>
      <w:r>
        <w:rPr>
          <w:rFonts w:hint="eastAsia" w:asciiTheme="minorEastAsia" w:hAnsiTheme="minorEastAsia"/>
          <w:color w:val="auto"/>
          <w:szCs w:val="21"/>
          <w:u w:val="single"/>
        </w:rPr>
        <w:t>（参加/不参加）</w:t>
      </w:r>
      <w:r>
        <w:rPr>
          <w:rFonts w:hint="eastAsia" w:asciiTheme="minorEastAsia" w:hAnsiTheme="minorEastAsia"/>
          <w:color w:val="auto"/>
          <w:szCs w:val="21"/>
        </w:rPr>
        <w:t>投标。</w:t>
      </w:r>
    </w:p>
    <w:p>
      <w:pPr>
        <w:spacing w:line="360" w:lineRule="auto"/>
        <w:rPr>
          <w:rFonts w:asciiTheme="minorEastAsia" w:hAnsiTheme="minorEastAsia"/>
          <w:color w:val="auto"/>
          <w:szCs w:val="21"/>
        </w:rPr>
      </w:pPr>
    </w:p>
    <w:p>
      <w:pPr>
        <w:spacing w:line="360" w:lineRule="auto"/>
        <w:ind w:firstLine="210" w:firstLineChars="100"/>
        <w:rPr>
          <w:rFonts w:asciiTheme="minorEastAsia" w:hAnsiTheme="minorEastAsia"/>
          <w:color w:val="auto"/>
          <w:szCs w:val="21"/>
        </w:rPr>
      </w:pPr>
      <w:r>
        <w:rPr>
          <w:rFonts w:hint="eastAsia" w:asciiTheme="minorEastAsia" w:hAnsiTheme="minorEastAsia"/>
          <w:color w:val="auto"/>
          <w:szCs w:val="21"/>
        </w:rPr>
        <w:t>特此确认。</w:t>
      </w:r>
    </w:p>
    <w:p>
      <w:pPr>
        <w:spacing w:line="200" w:lineRule="exact"/>
        <w:rPr>
          <w:rFonts w:asciiTheme="minorEastAsia" w:hAnsiTheme="minorEastAsia"/>
          <w:color w:val="auto"/>
          <w:szCs w:val="21"/>
        </w:rPr>
      </w:pPr>
    </w:p>
    <w:p>
      <w:pPr>
        <w:spacing w:line="326" w:lineRule="exact"/>
        <w:rPr>
          <w:rFonts w:asciiTheme="minorEastAsia" w:hAnsiTheme="minorEastAsia"/>
          <w:color w:val="auto"/>
          <w:szCs w:val="21"/>
        </w:rPr>
      </w:pPr>
    </w:p>
    <w:p>
      <w:pPr>
        <w:tabs>
          <w:tab w:val="left" w:pos="7580"/>
        </w:tabs>
        <w:wordWrap w:val="0"/>
        <w:spacing w:line="274" w:lineRule="exact"/>
        <w:ind w:left="3500"/>
        <w:jc w:val="right"/>
        <w:rPr>
          <w:rFonts w:asciiTheme="minorEastAsia" w:hAnsiTheme="minorEastAsia"/>
          <w:color w:val="auto"/>
          <w:szCs w:val="21"/>
        </w:rPr>
      </w:pPr>
      <w:r>
        <w:rPr>
          <w:rFonts w:cs="宋体" w:asciiTheme="minorEastAsia" w:hAnsiTheme="minorEastAsia"/>
          <w:color w:val="auto"/>
          <w:szCs w:val="21"/>
        </w:rPr>
        <w:t>被邀请单位名称：（盖单位章）</w:t>
      </w:r>
    </w:p>
    <w:p>
      <w:pPr>
        <w:spacing w:line="20" w:lineRule="exact"/>
        <w:jc w:val="right"/>
        <w:rPr>
          <w:rFonts w:asciiTheme="minorEastAsia" w:hAnsiTheme="minorEastAsia"/>
          <w:color w:val="auto"/>
          <w:szCs w:val="21"/>
        </w:rPr>
      </w:pPr>
    </w:p>
    <w:p>
      <w:pPr>
        <w:spacing w:line="500" w:lineRule="exact"/>
        <w:contextualSpacing/>
        <w:jc w:val="right"/>
        <w:rPr>
          <w:color w:val="auto"/>
          <w:szCs w:val="21"/>
        </w:rPr>
      </w:pPr>
      <w:r>
        <w:rPr>
          <w:rFonts w:cs="宋体" w:asciiTheme="minorEastAsia" w:hAnsiTheme="minorEastAsia"/>
          <w:color w:val="auto"/>
          <w:szCs w:val="21"/>
        </w:rPr>
        <w:t>年月日</w:t>
      </w:r>
    </w:p>
    <w:p>
      <w:pPr>
        <w:pStyle w:val="2"/>
        <w:keepNext/>
        <w:keepLines/>
        <w:widowControl w:val="0"/>
        <w:spacing w:before="0" w:after="0" w:line="500" w:lineRule="exact"/>
        <w:ind w:right="0"/>
        <w:contextualSpacing/>
        <w:jc w:val="center"/>
        <w:rPr>
          <w:rFonts w:ascii="Times New Roman" w:hAnsi="Times New Roman"/>
          <w:color w:val="auto"/>
          <w:kern w:val="44"/>
          <w:sz w:val="21"/>
          <w:szCs w:val="21"/>
          <w:lang w:val="zh-CN"/>
        </w:rPr>
        <w:sectPr>
          <w:pgSz w:w="11906" w:h="16838"/>
          <w:pgMar w:top="1418" w:right="1361" w:bottom="1418" w:left="1418" w:header="851" w:footer="992" w:gutter="0"/>
          <w:cols w:space="720" w:num="1"/>
          <w:docGrid w:type="lines" w:linePitch="312" w:charSpace="0"/>
        </w:sectPr>
      </w:pPr>
    </w:p>
    <w:p>
      <w:pPr>
        <w:pStyle w:val="2"/>
        <w:keepNext/>
        <w:keepLines/>
        <w:widowControl w:val="0"/>
        <w:spacing w:before="0" w:after="0" w:line="360" w:lineRule="auto"/>
        <w:ind w:right="0"/>
        <w:jc w:val="center"/>
        <w:rPr>
          <w:rFonts w:ascii="Times New Roman" w:hAnsi="Times New Roman"/>
          <w:color w:val="auto"/>
          <w:kern w:val="44"/>
          <w:sz w:val="44"/>
          <w:szCs w:val="44"/>
          <w:lang w:val="zh-CN"/>
        </w:rPr>
      </w:pPr>
      <w:bookmarkStart w:id="2" w:name="_Toc518908447"/>
      <w:r>
        <w:rPr>
          <w:rFonts w:ascii="Times New Roman" w:hAnsi="Times New Roman"/>
          <w:color w:val="auto"/>
          <w:kern w:val="44"/>
          <w:sz w:val="44"/>
          <w:szCs w:val="44"/>
          <w:lang w:val="zh-CN"/>
        </w:rPr>
        <w:t>第2章　投标人须知</w:t>
      </w:r>
      <w:bookmarkEnd w:id="2"/>
    </w:p>
    <w:p>
      <w:pPr>
        <w:jc w:val="center"/>
        <w:rPr>
          <w:rFonts w:ascii="黑体" w:hAnsi="黑体" w:eastAsia="黑体"/>
          <w:b/>
          <w:color w:val="auto"/>
          <w:sz w:val="28"/>
          <w:szCs w:val="28"/>
        </w:rPr>
      </w:pPr>
      <w:bookmarkStart w:id="3" w:name="第02章投标人须知00"/>
      <w:bookmarkEnd w:id="3"/>
      <w:r>
        <w:rPr>
          <w:rFonts w:hint="eastAsia" w:ascii="黑体" w:hAnsi="黑体" w:eastAsia="黑体"/>
          <w:b/>
          <w:color w:val="auto"/>
          <w:sz w:val="28"/>
          <w:szCs w:val="28"/>
        </w:rPr>
        <w:t>投标人须知前附表</w:t>
      </w:r>
    </w:p>
    <w:tbl>
      <w:tblPr>
        <w:tblStyle w:val="1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
        <w:gridCol w:w="22"/>
        <w:gridCol w:w="2215"/>
        <w:gridCol w:w="5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trPr>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条款号</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条款名称</w:t>
            </w:r>
          </w:p>
        </w:tc>
        <w:tc>
          <w:tcPr>
            <w:tcW w:w="5957"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1.2.2</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资金落实情况</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1.4.2</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是否接受联合体投标</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1.9</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踏勘现场</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1.10</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投标预备会</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1.1.6</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承包方式</w:t>
            </w:r>
          </w:p>
        </w:tc>
        <w:tc>
          <w:tcPr>
            <w:tcW w:w="5957" w:type="dxa"/>
            <w:vAlign w:val="center"/>
          </w:tcPr>
          <w:p>
            <w:pPr>
              <w:spacing w:line="420" w:lineRule="exact"/>
              <w:contextualSpacing/>
              <w:rPr>
                <w:rFonts w:ascii="宋体" w:hAnsi="宋体"/>
                <w:color w:val="auto"/>
                <w:szCs w:val="21"/>
              </w:rPr>
            </w:pPr>
            <w:r>
              <w:rPr>
                <w:rFonts w:hint="eastAsia" w:ascii="宋体" w:hAnsi="宋体"/>
                <w:color w:val="auto"/>
                <w:szCs w:val="21"/>
              </w:rPr>
              <w:t>包工、包料、包工期、包质量、包安全、包文明施工。固定总价包干、项目措施费包干。</w:t>
            </w:r>
            <w:r>
              <w:rPr>
                <w:rFonts w:hint="eastAsia" w:ascii="宋体" w:hAnsi="宋体"/>
                <w:color w:val="auto"/>
                <w:szCs w:val="21"/>
              </w:rPr>
              <w:t>包迁改线路移交供电部门</w:t>
            </w:r>
            <w:r>
              <w:rPr>
                <w:rFonts w:hint="eastAsia" w:ascii="宋体" w:hAnsi="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1.1.7</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验收标准</w:t>
            </w:r>
          </w:p>
        </w:tc>
        <w:tc>
          <w:tcPr>
            <w:tcW w:w="5957" w:type="dxa"/>
            <w:vAlign w:val="center"/>
          </w:tcPr>
          <w:p>
            <w:pPr>
              <w:spacing w:line="420" w:lineRule="exact"/>
              <w:contextualSpacing/>
              <w:rPr>
                <w:rFonts w:ascii="宋体" w:hAnsi="宋体"/>
                <w:color w:val="auto"/>
                <w:szCs w:val="21"/>
              </w:rPr>
            </w:pPr>
            <w:r>
              <w:rPr>
                <w:rFonts w:hint="eastAsia" w:ascii="宋体" w:hAnsi="宋体"/>
                <w:color w:val="auto"/>
                <w:szCs w:val="21"/>
              </w:rPr>
              <w:t>按国家相关规范执行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1.1.8</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资格审查方式</w:t>
            </w:r>
          </w:p>
        </w:tc>
        <w:tc>
          <w:tcPr>
            <w:tcW w:w="5957" w:type="dxa"/>
            <w:vAlign w:val="center"/>
          </w:tcPr>
          <w:p>
            <w:pPr>
              <w:spacing w:line="420" w:lineRule="exact"/>
              <w:contextualSpacing/>
              <w:rPr>
                <w:rFonts w:ascii="宋体" w:hAnsi="宋体"/>
                <w:color w:val="auto"/>
                <w:szCs w:val="21"/>
              </w:rPr>
            </w:pPr>
            <w:r>
              <w:rPr>
                <w:rFonts w:hint="eastAsia" w:ascii="宋体" w:hAnsi="宋体"/>
                <w:color w:val="auto"/>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1.11</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分包</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1.12</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偏离</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3.2.3</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投标报价</w:t>
            </w:r>
          </w:p>
        </w:tc>
        <w:tc>
          <w:tcPr>
            <w:tcW w:w="5957" w:type="dxa"/>
          </w:tcPr>
          <w:p>
            <w:pPr>
              <w:spacing w:line="420" w:lineRule="exact"/>
              <w:contextualSpacing/>
              <w:rPr>
                <w:color w:val="auto"/>
              </w:rPr>
            </w:pPr>
            <w:r>
              <w:rPr>
                <w:rFonts w:hint="eastAsia" w:ascii="宋体" w:hAnsi="宋体" w:cs="MS Mincho"/>
                <w:color w:val="auto"/>
                <w:szCs w:val="21"/>
              </w:rPr>
              <w:t>本工程投标报价不得高于最高限价为</w:t>
            </w:r>
            <w:r>
              <w:rPr>
                <w:rFonts w:ascii="宋体" w:hAnsi="宋体"/>
                <w:color w:val="auto"/>
                <w:szCs w:val="21"/>
                <w:u w:val="single"/>
              </w:rPr>
              <w:t>548,131.15</w:t>
            </w:r>
            <w:r>
              <w:rPr>
                <w:rFonts w:hint="eastAsia" w:ascii="宋体" w:hAnsi="宋体" w:cs="MS Mincho"/>
                <w:color w:val="auto"/>
                <w:szCs w:val="21"/>
              </w:rPr>
              <w:t>元，本项目安全文明施工费不得低于</w:t>
            </w:r>
            <w:r>
              <w:rPr>
                <w:rFonts w:ascii="宋体" w:hAnsi="宋体" w:cs="MS Mincho"/>
                <w:color w:val="auto"/>
                <w:szCs w:val="21"/>
                <w:u w:val="single"/>
              </w:rPr>
              <w:t>35961.19</w:t>
            </w:r>
            <w:r>
              <w:rPr>
                <w:rFonts w:hint="eastAsia" w:ascii="宋体" w:hAnsi="宋体" w:cs="MS Mincho"/>
                <w:color w:val="auto"/>
                <w:szCs w:val="21"/>
              </w:rPr>
              <w:t>元，</w:t>
            </w:r>
            <w:r>
              <w:rPr>
                <w:rFonts w:hint="eastAsia"/>
                <w:color w:val="auto"/>
              </w:rPr>
              <w:t>否则</w:t>
            </w:r>
            <w:r>
              <w:rPr>
                <w:rFonts w:hint="eastAsia" w:ascii="宋体" w:hAnsi="宋体" w:cs="MS Mincho"/>
                <w:color w:val="auto"/>
                <w:szCs w:val="21"/>
              </w:rPr>
              <w:t>其投标将被否决。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3.3.1</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投标有效期</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90日历天（从投标截止之日计起）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3.4.1</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投标保证金</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本项目无需缴纳投标保证金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3.7.4</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投标文件份数</w:t>
            </w:r>
          </w:p>
        </w:tc>
        <w:tc>
          <w:tcPr>
            <w:tcW w:w="5957" w:type="dxa"/>
          </w:tcPr>
          <w:p>
            <w:pPr>
              <w:spacing w:line="420" w:lineRule="exact"/>
              <w:contextualSpacing/>
              <w:rPr>
                <w:rFonts w:ascii="宋体" w:hAnsi="宋体" w:cs="Arial"/>
                <w:color w:val="auto"/>
                <w:kern w:val="0"/>
                <w:szCs w:val="21"/>
              </w:rPr>
            </w:pPr>
            <w:r>
              <w:rPr>
                <w:rFonts w:hint="eastAsia" w:ascii="宋体" w:hAnsi="宋体" w:cs="Arial"/>
                <w:color w:val="auto"/>
                <w:kern w:val="0"/>
                <w:szCs w:val="21"/>
              </w:rPr>
              <w:t>正本1份，副本 5份，电子文件1份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5.3</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开标程序</w:t>
            </w:r>
          </w:p>
        </w:tc>
        <w:tc>
          <w:tcPr>
            <w:tcW w:w="5957" w:type="dxa"/>
          </w:tcPr>
          <w:p>
            <w:pPr>
              <w:spacing w:line="420" w:lineRule="exact"/>
              <w:contextualSpacing/>
              <w:jc w:val="left"/>
              <w:rPr>
                <w:rFonts w:ascii="宋体" w:hAnsi="宋体"/>
                <w:color w:val="auto"/>
                <w:szCs w:val="21"/>
              </w:rPr>
            </w:pPr>
            <w:r>
              <w:rPr>
                <w:rFonts w:hint="eastAsia" w:ascii="宋体" w:hAnsi="宋体"/>
                <w:color w:val="auto"/>
                <w:szCs w:val="21"/>
              </w:rPr>
              <w:t>投标文件的密封检查：</w:t>
            </w:r>
            <w:r>
              <w:rPr>
                <w:rFonts w:hint="eastAsia" w:ascii="宋体" w:hAnsi="宋体" w:cs="宋体"/>
                <w:color w:val="auto"/>
                <w:szCs w:val="21"/>
                <w:lang w:eastAsia="zh-TW"/>
              </w:rPr>
              <w:t>由投标人或者其推选的代表检查投标文件的密封情况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6.1.1</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评标委员会的组建</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评标委员会构成：</w:t>
            </w:r>
            <w:r>
              <w:rPr>
                <w:rFonts w:hint="eastAsia" w:ascii="宋体" w:hAnsi="宋体"/>
                <w:color w:val="auto"/>
                <w:szCs w:val="21"/>
                <w:u w:val="single"/>
              </w:rPr>
              <w:t>5</w:t>
            </w:r>
            <w:r>
              <w:rPr>
                <w:rFonts w:hint="eastAsia" w:ascii="宋体" w:hAnsi="宋体"/>
                <w:color w:val="auto"/>
                <w:szCs w:val="21"/>
              </w:rPr>
              <w:t>人；</w:t>
            </w:r>
          </w:p>
          <w:p>
            <w:pPr>
              <w:spacing w:line="420" w:lineRule="exact"/>
              <w:contextualSpacing/>
              <w:rPr>
                <w:rFonts w:ascii="宋体" w:hAnsi="宋体"/>
                <w:color w:val="auto"/>
                <w:szCs w:val="21"/>
              </w:rPr>
            </w:pPr>
            <w:r>
              <w:rPr>
                <w:rFonts w:hint="eastAsia" w:ascii="宋体" w:hAnsi="宋体"/>
                <w:color w:val="auto"/>
                <w:szCs w:val="21"/>
              </w:rPr>
              <w:t>评标专家确定方式：按照相关法律法规及规范性文件依法组建。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4"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7.3.1</w:t>
            </w:r>
          </w:p>
        </w:tc>
        <w:tc>
          <w:tcPr>
            <w:tcW w:w="2215"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履约担保</w:t>
            </w:r>
          </w:p>
        </w:tc>
        <w:tc>
          <w:tcPr>
            <w:tcW w:w="5957" w:type="dxa"/>
          </w:tcPr>
          <w:p>
            <w:pPr>
              <w:spacing w:line="420" w:lineRule="exact"/>
              <w:contextualSpacing/>
              <w:rPr>
                <w:rFonts w:ascii="宋体" w:hAnsi="宋体"/>
                <w:color w:val="auto"/>
                <w:szCs w:val="21"/>
              </w:rPr>
            </w:pPr>
            <w:r>
              <w:rPr>
                <w:rFonts w:hint="eastAsia" w:ascii="宋体" w:hAnsi="宋体"/>
                <w:color w:val="auto"/>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2" w:type="dxa"/>
            <w:vAlign w:val="center"/>
          </w:tcPr>
          <w:p>
            <w:pPr>
              <w:spacing w:line="420" w:lineRule="exact"/>
              <w:contextualSpacing/>
              <w:jc w:val="center"/>
              <w:rPr>
                <w:rFonts w:ascii="宋体" w:hAnsi="宋体"/>
                <w:color w:val="auto"/>
                <w:szCs w:val="21"/>
              </w:rPr>
            </w:pPr>
            <w:r>
              <w:rPr>
                <w:rFonts w:hint="eastAsia" w:ascii="宋体" w:hAnsi="宋体"/>
                <w:color w:val="auto"/>
                <w:szCs w:val="21"/>
              </w:rPr>
              <w:t>10.1</w:t>
            </w:r>
          </w:p>
        </w:tc>
        <w:tc>
          <w:tcPr>
            <w:tcW w:w="2237" w:type="dxa"/>
            <w:gridSpan w:val="2"/>
            <w:vAlign w:val="center"/>
          </w:tcPr>
          <w:p>
            <w:pPr>
              <w:spacing w:line="420" w:lineRule="exact"/>
              <w:contextualSpacing/>
              <w:jc w:val="center"/>
              <w:rPr>
                <w:rFonts w:ascii="宋体" w:hAnsi="宋体"/>
                <w:color w:val="auto"/>
                <w:szCs w:val="21"/>
              </w:rPr>
            </w:pPr>
            <w:r>
              <w:rPr>
                <w:rFonts w:hint="eastAsia" w:ascii="宋体" w:hAnsi="宋体"/>
                <w:color w:val="auto"/>
                <w:szCs w:val="21"/>
              </w:rPr>
              <w:t>招标代理服务费</w:t>
            </w:r>
          </w:p>
        </w:tc>
        <w:tc>
          <w:tcPr>
            <w:tcW w:w="5957" w:type="dxa"/>
          </w:tcPr>
          <w:p>
            <w:pPr>
              <w:widowControl/>
              <w:spacing w:line="420" w:lineRule="exact"/>
              <w:contextualSpacing/>
              <w:rPr>
                <w:rFonts w:ascii="宋体" w:hAnsi="宋体" w:cs="宋体"/>
                <w:color w:val="auto"/>
                <w:szCs w:val="21"/>
              </w:rPr>
            </w:pPr>
            <w:r>
              <w:rPr>
                <w:rFonts w:hint="eastAsia" w:ascii="宋体" w:hAnsi="宋体" w:cs="宋体"/>
                <w:color w:val="auto"/>
                <w:szCs w:val="21"/>
              </w:rPr>
              <w:t>本项目不收取</w:t>
            </w:r>
            <w:r>
              <w:rPr>
                <w:rFonts w:hint="eastAsia" w:ascii="宋体" w:hAnsi="宋体"/>
                <w:color w:val="auto"/>
                <w:szCs w:val="21"/>
              </w:rPr>
              <w:t>招标代理服务费。</w:t>
            </w:r>
          </w:p>
        </w:tc>
      </w:tr>
    </w:tbl>
    <w:p>
      <w:pPr>
        <w:pStyle w:val="4"/>
        <w:tabs>
          <w:tab w:val="left" w:pos="425"/>
        </w:tabs>
        <w:ind w:left="425" w:hanging="425"/>
        <w:rPr>
          <w:rFonts w:ascii="宋体" w:hAnsi="宋体"/>
          <w:color w:val="auto"/>
          <w:spacing w:val="1"/>
          <w:w w:val="99"/>
          <w:kern w:val="0"/>
        </w:rPr>
        <w:sectPr>
          <w:pgSz w:w="11906" w:h="16838"/>
          <w:pgMar w:top="1418" w:right="1361" w:bottom="1418" w:left="1418" w:header="851" w:footer="992" w:gutter="0"/>
          <w:cols w:space="720" w:num="1"/>
          <w:docGrid w:type="lines" w:linePitch="312" w:charSpace="0"/>
        </w:sectPr>
      </w:pPr>
      <w:bookmarkStart w:id="4" w:name="第02章投标人须知01"/>
      <w:bookmarkEnd w:id="4"/>
      <w:bookmarkStart w:id="5" w:name="_Toc433215181"/>
      <w:bookmarkStart w:id="6" w:name="_Toc518893825"/>
      <w:bookmarkStart w:id="7" w:name="_Toc518908448"/>
      <w:bookmarkStart w:id="8" w:name="_Toc434396979"/>
    </w:p>
    <w:p>
      <w:pPr>
        <w:pStyle w:val="4"/>
        <w:tabs>
          <w:tab w:val="left" w:pos="425"/>
        </w:tabs>
        <w:ind w:left="425" w:hanging="425"/>
        <w:rPr>
          <w:rFonts w:ascii="宋体" w:hAnsi="宋体"/>
          <w:color w:val="auto"/>
          <w:spacing w:val="1"/>
          <w:w w:val="99"/>
          <w:kern w:val="0"/>
        </w:rPr>
      </w:pPr>
      <w:r>
        <w:rPr>
          <w:rFonts w:hint="eastAsia" w:ascii="宋体" w:hAnsi="宋体"/>
          <w:color w:val="auto"/>
          <w:spacing w:val="1"/>
          <w:w w:val="99"/>
          <w:kern w:val="0"/>
        </w:rPr>
        <w:t>1　总则</w:t>
      </w:r>
      <w:bookmarkEnd w:id="5"/>
      <w:bookmarkEnd w:id="6"/>
      <w:bookmarkEnd w:id="7"/>
      <w:bookmarkEnd w:id="8"/>
    </w:p>
    <w:p>
      <w:pPr>
        <w:spacing w:line="420" w:lineRule="exact"/>
        <w:contextualSpacing/>
        <w:rPr>
          <w:b/>
          <w:color w:val="auto"/>
        </w:rPr>
      </w:pPr>
      <w:r>
        <w:rPr>
          <w:rFonts w:hint="eastAsia"/>
          <w:b/>
          <w:color w:val="auto"/>
        </w:rPr>
        <w:t>1.1项目概况</w:t>
      </w:r>
    </w:p>
    <w:p>
      <w:pPr>
        <w:spacing w:line="420" w:lineRule="exact"/>
        <w:contextualSpacing/>
        <w:rPr>
          <w:color w:val="auto"/>
        </w:rPr>
      </w:pPr>
      <w:r>
        <w:rPr>
          <w:rFonts w:hint="eastAsia"/>
          <w:color w:val="auto"/>
        </w:rPr>
        <w:t>1.1.1</w:t>
      </w:r>
      <w:r>
        <w:rPr>
          <w:rFonts w:hint="eastAsia" w:ascii="宋体" w:hAnsi="宋体"/>
          <w:color w:val="auto"/>
          <w:szCs w:val="21"/>
        </w:rPr>
        <w:t>参照</w:t>
      </w:r>
      <w:r>
        <w:rPr>
          <w:rFonts w:hint="eastAsia"/>
          <w:color w:val="auto"/>
        </w:rPr>
        <w:t>《中华人民共和国招标投标法》、《中华人民共和国招标投标法实施条例》等有关法律、法规和规章的规定，本招标项目已具备招标条件，现对本项目进行招标。</w:t>
      </w:r>
    </w:p>
    <w:p>
      <w:pPr>
        <w:spacing w:line="420" w:lineRule="exact"/>
        <w:contextualSpacing/>
        <w:rPr>
          <w:color w:val="auto"/>
        </w:rPr>
      </w:pPr>
      <w:r>
        <w:rPr>
          <w:rFonts w:hint="eastAsia"/>
          <w:color w:val="auto"/>
        </w:rPr>
        <w:t>1.1.2 本招标项目招标人：见第1章投标邀请书。</w:t>
      </w:r>
    </w:p>
    <w:p>
      <w:pPr>
        <w:spacing w:line="420" w:lineRule="exact"/>
        <w:contextualSpacing/>
        <w:rPr>
          <w:color w:val="auto"/>
        </w:rPr>
      </w:pPr>
      <w:r>
        <w:rPr>
          <w:rFonts w:hint="eastAsia"/>
          <w:color w:val="auto"/>
        </w:rPr>
        <w:t>1.1.3本招标项目名称：见第1章投标邀请书。</w:t>
      </w:r>
    </w:p>
    <w:p>
      <w:pPr>
        <w:spacing w:line="420" w:lineRule="exact"/>
        <w:contextualSpacing/>
        <w:rPr>
          <w:color w:val="auto"/>
        </w:rPr>
      </w:pPr>
      <w:r>
        <w:rPr>
          <w:rFonts w:hint="eastAsia"/>
          <w:color w:val="auto"/>
        </w:rPr>
        <w:t>1.1.4本招标项目建设地点：见第1章投标邀请书。</w:t>
      </w:r>
    </w:p>
    <w:p>
      <w:pPr>
        <w:spacing w:line="420" w:lineRule="exact"/>
        <w:contextualSpacing/>
        <w:rPr>
          <w:color w:val="auto"/>
        </w:rPr>
      </w:pPr>
      <w:r>
        <w:rPr>
          <w:rFonts w:hint="eastAsia"/>
          <w:color w:val="auto"/>
        </w:rPr>
        <w:t>1.1.5本招标项目承包方式：见投标须知前附表。</w:t>
      </w:r>
    </w:p>
    <w:p>
      <w:pPr>
        <w:spacing w:line="420" w:lineRule="exact"/>
        <w:contextualSpacing/>
        <w:rPr>
          <w:color w:val="auto"/>
        </w:rPr>
      </w:pPr>
      <w:r>
        <w:rPr>
          <w:rFonts w:hint="eastAsia"/>
          <w:color w:val="auto"/>
        </w:rPr>
        <w:t>1.1.6本招标项目验收标准：见投标须知前附表。</w:t>
      </w:r>
    </w:p>
    <w:p>
      <w:pPr>
        <w:spacing w:line="420" w:lineRule="exact"/>
        <w:contextualSpacing/>
        <w:rPr>
          <w:color w:val="auto"/>
        </w:rPr>
      </w:pPr>
      <w:r>
        <w:rPr>
          <w:rFonts w:hint="eastAsia"/>
          <w:color w:val="auto"/>
        </w:rPr>
        <w:t>1.1.7本招标项目资格审查方式：见投标须知前附表。</w:t>
      </w:r>
    </w:p>
    <w:p>
      <w:pPr>
        <w:spacing w:line="420" w:lineRule="exact"/>
        <w:contextualSpacing/>
        <w:rPr>
          <w:b/>
          <w:color w:val="auto"/>
        </w:rPr>
      </w:pPr>
      <w:bookmarkStart w:id="9" w:name="_Toc144974499"/>
      <w:bookmarkStart w:id="10" w:name="_Toc179632548"/>
      <w:bookmarkStart w:id="11" w:name="_Toc152042307"/>
      <w:bookmarkStart w:id="12" w:name="_Toc152045531"/>
      <w:r>
        <w:rPr>
          <w:rFonts w:hint="eastAsia"/>
          <w:b/>
          <w:color w:val="auto"/>
        </w:rPr>
        <w:t>1.2 资金来源和落实情况</w:t>
      </w:r>
      <w:bookmarkEnd w:id="9"/>
      <w:bookmarkEnd w:id="10"/>
      <w:bookmarkEnd w:id="11"/>
      <w:bookmarkEnd w:id="12"/>
    </w:p>
    <w:p>
      <w:pPr>
        <w:spacing w:line="420" w:lineRule="exact"/>
        <w:contextualSpacing/>
        <w:rPr>
          <w:color w:val="auto"/>
        </w:rPr>
      </w:pPr>
      <w:r>
        <w:rPr>
          <w:rFonts w:hint="eastAsia"/>
          <w:color w:val="auto"/>
        </w:rPr>
        <w:t>1.2.1 本招标项目的资金来源：见第1章投标邀请书。</w:t>
      </w:r>
    </w:p>
    <w:p>
      <w:pPr>
        <w:spacing w:line="420" w:lineRule="exact"/>
        <w:contextualSpacing/>
        <w:rPr>
          <w:color w:val="auto"/>
        </w:rPr>
      </w:pPr>
      <w:r>
        <w:rPr>
          <w:rFonts w:hint="eastAsia"/>
          <w:color w:val="auto"/>
        </w:rPr>
        <w:t>1.2.2本招标项目的资金落实情况：见投标人须知前附表。</w:t>
      </w:r>
    </w:p>
    <w:p>
      <w:pPr>
        <w:spacing w:line="420" w:lineRule="exact"/>
        <w:contextualSpacing/>
        <w:rPr>
          <w:b/>
          <w:color w:val="auto"/>
        </w:rPr>
      </w:pPr>
      <w:bookmarkStart w:id="13" w:name="_Toc144974500"/>
      <w:bookmarkStart w:id="14" w:name="_Toc152045532"/>
      <w:bookmarkStart w:id="15" w:name="_Toc152042308"/>
      <w:bookmarkStart w:id="16" w:name="_Toc179632549"/>
      <w:r>
        <w:rPr>
          <w:rFonts w:hint="eastAsia"/>
          <w:b/>
          <w:color w:val="auto"/>
        </w:rPr>
        <w:t>1.3 招标范围、计划工期和质量要求</w:t>
      </w:r>
      <w:bookmarkEnd w:id="13"/>
      <w:bookmarkEnd w:id="14"/>
      <w:bookmarkEnd w:id="15"/>
      <w:bookmarkEnd w:id="16"/>
    </w:p>
    <w:p>
      <w:pPr>
        <w:spacing w:line="420" w:lineRule="exact"/>
        <w:contextualSpacing/>
        <w:rPr>
          <w:color w:val="auto"/>
        </w:rPr>
      </w:pPr>
      <w:r>
        <w:rPr>
          <w:rFonts w:hint="eastAsia"/>
          <w:color w:val="auto"/>
        </w:rPr>
        <w:t>1.3.1 本次招标范围：见第1章投标邀请书。</w:t>
      </w:r>
    </w:p>
    <w:p>
      <w:pPr>
        <w:spacing w:line="420" w:lineRule="exact"/>
        <w:contextualSpacing/>
        <w:rPr>
          <w:color w:val="auto"/>
        </w:rPr>
      </w:pPr>
      <w:r>
        <w:rPr>
          <w:rFonts w:hint="eastAsia"/>
          <w:color w:val="auto"/>
        </w:rPr>
        <w:t>1.3.2 本招标项目的计划工期：见第1章投标邀请书。</w:t>
      </w:r>
    </w:p>
    <w:p>
      <w:pPr>
        <w:spacing w:line="420" w:lineRule="exact"/>
        <w:contextualSpacing/>
        <w:rPr>
          <w:color w:val="auto"/>
        </w:rPr>
      </w:pPr>
      <w:r>
        <w:rPr>
          <w:rFonts w:hint="eastAsia"/>
          <w:color w:val="auto"/>
        </w:rPr>
        <w:t>1.3.3 本招标项目的质量要求：见第1章投标邀请书。</w:t>
      </w:r>
    </w:p>
    <w:p>
      <w:pPr>
        <w:spacing w:line="420" w:lineRule="exact"/>
        <w:contextualSpacing/>
        <w:rPr>
          <w:b/>
          <w:color w:val="auto"/>
        </w:rPr>
      </w:pPr>
      <w:bookmarkStart w:id="17" w:name="_Toc144974502"/>
      <w:bookmarkStart w:id="18" w:name="_Toc152042310"/>
      <w:bookmarkStart w:id="19" w:name="_Toc179632551"/>
      <w:bookmarkStart w:id="20" w:name="_Toc152045534"/>
      <w:r>
        <w:rPr>
          <w:rFonts w:hint="eastAsia"/>
          <w:b/>
          <w:color w:val="auto"/>
        </w:rPr>
        <w:t>1.4 投标人资格要求</w:t>
      </w:r>
      <w:bookmarkEnd w:id="17"/>
      <w:bookmarkEnd w:id="18"/>
      <w:bookmarkEnd w:id="19"/>
      <w:bookmarkEnd w:id="20"/>
    </w:p>
    <w:p>
      <w:pPr>
        <w:spacing w:line="420" w:lineRule="exact"/>
        <w:contextualSpacing/>
        <w:rPr>
          <w:color w:val="auto"/>
        </w:rPr>
      </w:pPr>
      <w:r>
        <w:rPr>
          <w:rFonts w:hint="eastAsia"/>
          <w:color w:val="auto"/>
        </w:rPr>
        <w:t>1.4.1投标人应具备承担本招标项目的资质条件、能力和信誉，见第1章投标邀请书。</w:t>
      </w:r>
    </w:p>
    <w:p>
      <w:pPr>
        <w:spacing w:line="420" w:lineRule="exact"/>
        <w:contextualSpacing/>
        <w:rPr>
          <w:color w:val="auto"/>
        </w:rPr>
      </w:pPr>
      <w:r>
        <w:rPr>
          <w:rFonts w:hint="eastAsia"/>
          <w:color w:val="auto"/>
        </w:rPr>
        <w:t>1.4.2 投标人须知前附表规定接受联合体投标的，除应符合本章第1.4.1项的要求外，还应遵守以下规定：</w:t>
      </w:r>
    </w:p>
    <w:p>
      <w:pPr>
        <w:spacing w:line="420" w:lineRule="exact"/>
        <w:contextualSpacing/>
        <w:rPr>
          <w:color w:val="auto"/>
        </w:rPr>
      </w:pPr>
      <w:r>
        <w:rPr>
          <w:rFonts w:hint="eastAsia"/>
          <w:color w:val="auto"/>
        </w:rPr>
        <w:t>（1）联合体各方应按招标文件提供的格式签订联合体协议书，明确联合体牵头人和各方权利义务，并承诺就中标项目向招标人承担连带责任；</w:t>
      </w:r>
    </w:p>
    <w:p>
      <w:pPr>
        <w:spacing w:line="420" w:lineRule="exact"/>
        <w:contextualSpacing/>
        <w:rPr>
          <w:color w:val="auto"/>
        </w:rPr>
      </w:pPr>
      <w:r>
        <w:rPr>
          <w:rFonts w:hint="eastAsia"/>
          <w:color w:val="auto"/>
        </w:rPr>
        <w:t>（2）由同一专业的单位组成的联合体，按照资质等级较低的单位确定资质等级；</w:t>
      </w:r>
    </w:p>
    <w:p>
      <w:pPr>
        <w:spacing w:line="420" w:lineRule="exact"/>
        <w:contextualSpacing/>
        <w:rPr>
          <w:color w:val="auto"/>
        </w:rPr>
      </w:pPr>
      <w:r>
        <w:rPr>
          <w:rFonts w:hint="eastAsia"/>
          <w:color w:val="auto"/>
        </w:rPr>
        <w:t>（3）联合体各方不得再以自己名义单独或参加其他联合体在同一招标项目中投标；</w:t>
      </w:r>
    </w:p>
    <w:p>
      <w:pPr>
        <w:spacing w:line="420" w:lineRule="exact"/>
        <w:contextualSpacing/>
        <w:rPr>
          <w:color w:val="auto"/>
        </w:rPr>
      </w:pPr>
      <w:r>
        <w:rPr>
          <w:rFonts w:hint="eastAsia"/>
          <w:color w:val="auto"/>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420" w:lineRule="exact"/>
        <w:contextualSpacing/>
        <w:rPr>
          <w:color w:val="auto"/>
        </w:rPr>
      </w:pPr>
      <w:r>
        <w:rPr>
          <w:rFonts w:hint="eastAsia"/>
          <w:color w:val="auto"/>
        </w:rPr>
        <w:t>（5）尽管委任了联合体牵头人，但联合体各成员在投标、签订合同与履行合同过程中，仍负有连带的和各自的法律责任。</w:t>
      </w:r>
    </w:p>
    <w:p>
      <w:pPr>
        <w:spacing w:line="420" w:lineRule="exact"/>
        <w:contextualSpacing/>
        <w:rPr>
          <w:color w:val="auto"/>
        </w:rPr>
      </w:pPr>
      <w:r>
        <w:rPr>
          <w:rFonts w:hint="eastAsia"/>
          <w:color w:val="auto"/>
        </w:rPr>
        <w:t>1.4.3 投标人不得存在下列情形之一：</w:t>
      </w:r>
    </w:p>
    <w:p>
      <w:pPr>
        <w:spacing w:line="420" w:lineRule="exact"/>
        <w:contextualSpacing/>
        <w:rPr>
          <w:color w:val="auto"/>
        </w:rPr>
      </w:pPr>
      <w:r>
        <w:rPr>
          <w:rFonts w:hint="eastAsia"/>
          <w:color w:val="auto"/>
        </w:rPr>
        <w:t>（1）为招标人不具有独立法人资格的附属机构（单位）；</w:t>
      </w:r>
    </w:p>
    <w:p>
      <w:pPr>
        <w:spacing w:line="420" w:lineRule="exact"/>
        <w:contextualSpacing/>
        <w:rPr>
          <w:color w:val="auto"/>
        </w:rPr>
      </w:pPr>
      <w:r>
        <w:rPr>
          <w:rFonts w:hint="eastAsia"/>
          <w:color w:val="auto"/>
        </w:rPr>
        <w:t>（2）与招标人存在利害关系且可能影响招标公正性；</w:t>
      </w:r>
    </w:p>
    <w:p>
      <w:pPr>
        <w:spacing w:line="420" w:lineRule="exact"/>
        <w:contextualSpacing/>
        <w:rPr>
          <w:color w:val="auto"/>
        </w:rPr>
      </w:pPr>
      <w:r>
        <w:rPr>
          <w:rFonts w:hint="eastAsia"/>
          <w:color w:val="auto"/>
        </w:rPr>
        <w:t>（3）与本标段的其他投标人同为一个单位负责人；</w:t>
      </w:r>
    </w:p>
    <w:p>
      <w:pPr>
        <w:spacing w:line="420" w:lineRule="exact"/>
        <w:contextualSpacing/>
        <w:rPr>
          <w:color w:val="auto"/>
        </w:rPr>
      </w:pPr>
      <w:r>
        <w:rPr>
          <w:rFonts w:hint="eastAsia"/>
          <w:color w:val="auto"/>
        </w:rPr>
        <w:t>（4）与本标段的其他投标人存在控股、管理关系；</w:t>
      </w:r>
    </w:p>
    <w:p>
      <w:pPr>
        <w:spacing w:line="420" w:lineRule="exact"/>
        <w:contextualSpacing/>
        <w:rPr>
          <w:color w:val="auto"/>
        </w:rPr>
      </w:pPr>
      <w:r>
        <w:rPr>
          <w:rFonts w:hint="eastAsia"/>
          <w:color w:val="auto"/>
        </w:rPr>
        <w:t>（5）为本招标项目的监理人；</w:t>
      </w:r>
    </w:p>
    <w:p>
      <w:pPr>
        <w:spacing w:line="420" w:lineRule="exact"/>
        <w:contextualSpacing/>
        <w:rPr>
          <w:color w:val="auto"/>
        </w:rPr>
      </w:pPr>
      <w:r>
        <w:rPr>
          <w:rFonts w:hint="eastAsia"/>
          <w:color w:val="auto"/>
        </w:rPr>
        <w:t>（6）为本标段的代建人；</w:t>
      </w:r>
    </w:p>
    <w:p>
      <w:pPr>
        <w:spacing w:line="420" w:lineRule="exact"/>
        <w:contextualSpacing/>
        <w:rPr>
          <w:color w:val="auto"/>
        </w:rPr>
      </w:pPr>
      <w:r>
        <w:rPr>
          <w:rFonts w:hint="eastAsia"/>
          <w:color w:val="auto"/>
        </w:rPr>
        <w:t>（8）与本招标项目的监理人或代建人同为一个法定代表人的；</w:t>
      </w:r>
    </w:p>
    <w:p>
      <w:pPr>
        <w:spacing w:line="420" w:lineRule="exact"/>
        <w:contextualSpacing/>
        <w:rPr>
          <w:color w:val="auto"/>
        </w:rPr>
      </w:pPr>
      <w:r>
        <w:rPr>
          <w:rFonts w:hint="eastAsia"/>
          <w:color w:val="auto"/>
        </w:rPr>
        <w:t>（9）与本招标项目的监理人或代建人相互控股或参股的；</w:t>
      </w:r>
    </w:p>
    <w:p>
      <w:pPr>
        <w:spacing w:line="420" w:lineRule="exact"/>
        <w:contextualSpacing/>
        <w:rPr>
          <w:color w:val="auto"/>
        </w:rPr>
      </w:pPr>
      <w:r>
        <w:rPr>
          <w:rFonts w:hint="eastAsia"/>
          <w:color w:val="auto"/>
        </w:rPr>
        <w:t>（10）与本招标项目的监理人或代建人相互任职或工作的；</w:t>
      </w:r>
    </w:p>
    <w:p>
      <w:pPr>
        <w:spacing w:line="420" w:lineRule="exact"/>
        <w:contextualSpacing/>
        <w:rPr>
          <w:color w:val="auto"/>
        </w:rPr>
      </w:pPr>
      <w:r>
        <w:rPr>
          <w:rFonts w:hint="eastAsia"/>
          <w:color w:val="auto"/>
        </w:rPr>
        <w:t>（11）与本标段对应工程的施工承包人以及建筑材料、建筑构配件和设备供应商有隶属关系或其他利害关系；</w:t>
      </w:r>
    </w:p>
    <w:p>
      <w:pPr>
        <w:spacing w:line="420" w:lineRule="exact"/>
        <w:contextualSpacing/>
        <w:rPr>
          <w:color w:val="auto"/>
        </w:rPr>
      </w:pPr>
      <w:r>
        <w:rPr>
          <w:rFonts w:hint="eastAsia"/>
          <w:color w:val="auto"/>
        </w:rPr>
        <w:t>（12）被责令停业的；</w:t>
      </w:r>
    </w:p>
    <w:p>
      <w:pPr>
        <w:spacing w:line="420" w:lineRule="exact"/>
        <w:contextualSpacing/>
        <w:rPr>
          <w:color w:val="auto"/>
        </w:rPr>
      </w:pPr>
      <w:r>
        <w:rPr>
          <w:rFonts w:hint="eastAsia"/>
          <w:color w:val="auto"/>
        </w:rPr>
        <w:t>（13）被暂停或取消投标资格的；</w:t>
      </w:r>
    </w:p>
    <w:p>
      <w:pPr>
        <w:spacing w:line="420" w:lineRule="exact"/>
        <w:contextualSpacing/>
        <w:rPr>
          <w:color w:val="auto"/>
        </w:rPr>
      </w:pPr>
      <w:r>
        <w:rPr>
          <w:rFonts w:hint="eastAsia"/>
          <w:color w:val="auto"/>
        </w:rPr>
        <w:t>（14）财产被接管或冻结的；</w:t>
      </w:r>
    </w:p>
    <w:p>
      <w:pPr>
        <w:spacing w:line="420" w:lineRule="exact"/>
        <w:contextualSpacing/>
        <w:rPr>
          <w:color w:val="auto"/>
        </w:rPr>
      </w:pPr>
      <w:r>
        <w:rPr>
          <w:rFonts w:hint="eastAsia"/>
          <w:color w:val="auto"/>
        </w:rPr>
        <w:t>（15）为招标项目前期工作提供咨询服务的；</w:t>
      </w:r>
    </w:p>
    <w:p>
      <w:pPr>
        <w:spacing w:line="420" w:lineRule="exact"/>
        <w:contextualSpacing/>
        <w:rPr>
          <w:color w:val="auto"/>
        </w:rPr>
      </w:pPr>
      <w:r>
        <w:rPr>
          <w:rFonts w:hint="eastAsia"/>
          <w:color w:val="auto"/>
        </w:rPr>
        <w:t>（16）在最近三年内有骗取中标或严重违约或重大工程质量问题的。</w:t>
      </w:r>
    </w:p>
    <w:p>
      <w:pPr>
        <w:spacing w:line="420" w:lineRule="exact"/>
        <w:contextualSpacing/>
        <w:rPr>
          <w:color w:val="auto"/>
        </w:rPr>
      </w:pPr>
      <w:r>
        <w:rPr>
          <w:rFonts w:hint="eastAsia"/>
          <w:color w:val="auto"/>
        </w:rPr>
        <w:t>（17）法律法规或投标人须知前附表规定的其他情形。</w:t>
      </w:r>
    </w:p>
    <w:p>
      <w:pPr>
        <w:spacing w:line="420" w:lineRule="exact"/>
        <w:contextualSpacing/>
        <w:rPr>
          <w:b/>
          <w:color w:val="auto"/>
        </w:rPr>
      </w:pPr>
      <w:bookmarkStart w:id="21" w:name="_Toc152042311"/>
      <w:bookmarkStart w:id="22" w:name="_Toc144974503"/>
      <w:bookmarkStart w:id="23" w:name="_Toc179632552"/>
      <w:bookmarkStart w:id="24" w:name="_Toc152045535"/>
      <w:r>
        <w:rPr>
          <w:rFonts w:hint="eastAsia"/>
          <w:b/>
          <w:color w:val="auto"/>
        </w:rPr>
        <w:t>1.5 费用承担</w:t>
      </w:r>
      <w:bookmarkEnd w:id="21"/>
      <w:bookmarkEnd w:id="22"/>
      <w:bookmarkEnd w:id="23"/>
      <w:bookmarkEnd w:id="24"/>
    </w:p>
    <w:p>
      <w:pPr>
        <w:spacing w:line="420" w:lineRule="exact"/>
        <w:contextualSpacing/>
        <w:rPr>
          <w:color w:val="auto"/>
        </w:rPr>
      </w:pPr>
      <w:r>
        <w:rPr>
          <w:rFonts w:hint="eastAsia"/>
          <w:color w:val="auto"/>
        </w:rPr>
        <w:t>投标人准备和参加投标活动发生的费用自理。不论投标结果如何，投标人应承担自身因投标文件编制、递交及其他参加本招标活动所涉及的一切费用，招标人对上述费用不负任何责任。</w:t>
      </w:r>
    </w:p>
    <w:p>
      <w:pPr>
        <w:spacing w:line="420" w:lineRule="exact"/>
        <w:contextualSpacing/>
        <w:rPr>
          <w:b/>
          <w:color w:val="auto"/>
        </w:rPr>
      </w:pPr>
      <w:bookmarkStart w:id="25" w:name="_Toc144974504"/>
      <w:bookmarkStart w:id="26" w:name="_Toc152045536"/>
      <w:bookmarkStart w:id="27" w:name="_Toc179632553"/>
      <w:bookmarkStart w:id="28" w:name="_Toc152042312"/>
      <w:r>
        <w:rPr>
          <w:rFonts w:hint="eastAsia"/>
          <w:b/>
          <w:color w:val="auto"/>
        </w:rPr>
        <w:t>1.6 保密</w:t>
      </w:r>
      <w:bookmarkEnd w:id="25"/>
      <w:bookmarkEnd w:id="26"/>
      <w:bookmarkEnd w:id="27"/>
      <w:bookmarkEnd w:id="28"/>
    </w:p>
    <w:p>
      <w:pPr>
        <w:spacing w:line="420" w:lineRule="exact"/>
        <w:contextualSpacing/>
        <w:rPr>
          <w:color w:val="auto"/>
        </w:rPr>
      </w:pPr>
      <w:r>
        <w:rPr>
          <w:rFonts w:hint="eastAsia"/>
          <w:color w:val="auto"/>
        </w:rPr>
        <w:t>参与招标投标活动的各方应对招标文件和投标文件中的商业和技术等秘密保密，违者应对由此造成的后果承担法律责任。</w:t>
      </w:r>
    </w:p>
    <w:p>
      <w:pPr>
        <w:spacing w:line="420" w:lineRule="exact"/>
        <w:contextualSpacing/>
        <w:rPr>
          <w:b/>
          <w:color w:val="auto"/>
        </w:rPr>
      </w:pPr>
      <w:bookmarkStart w:id="29" w:name="_Toc144974505"/>
      <w:bookmarkStart w:id="30" w:name="_Toc179632554"/>
      <w:bookmarkStart w:id="31" w:name="_Toc152045537"/>
      <w:bookmarkStart w:id="32" w:name="_Toc152042313"/>
      <w:r>
        <w:rPr>
          <w:rFonts w:hint="eastAsia"/>
          <w:b/>
          <w:color w:val="auto"/>
        </w:rPr>
        <w:t>1.7 语言</w:t>
      </w:r>
      <w:bookmarkEnd w:id="29"/>
      <w:r>
        <w:rPr>
          <w:rFonts w:hint="eastAsia"/>
          <w:b/>
          <w:color w:val="auto"/>
        </w:rPr>
        <w:t>文字</w:t>
      </w:r>
      <w:bookmarkEnd w:id="30"/>
      <w:bookmarkEnd w:id="31"/>
      <w:bookmarkEnd w:id="32"/>
    </w:p>
    <w:p>
      <w:pPr>
        <w:spacing w:line="420" w:lineRule="exact"/>
        <w:contextualSpacing/>
        <w:rPr>
          <w:color w:val="auto"/>
        </w:rPr>
      </w:pPr>
      <w:r>
        <w:rPr>
          <w:rFonts w:hint="eastAsia"/>
          <w:color w:val="auto"/>
        </w:rPr>
        <w:t>除专用术语外，与招标投标有关的语言均使用中文。必要时专用术语应附有中文注释。</w:t>
      </w:r>
    </w:p>
    <w:p>
      <w:pPr>
        <w:spacing w:line="420" w:lineRule="exact"/>
        <w:contextualSpacing/>
        <w:rPr>
          <w:b/>
          <w:color w:val="auto"/>
        </w:rPr>
      </w:pPr>
      <w:bookmarkStart w:id="33" w:name="_Toc144974506"/>
      <w:bookmarkStart w:id="34" w:name="_Toc152042314"/>
      <w:bookmarkStart w:id="35" w:name="_Toc179632555"/>
      <w:bookmarkStart w:id="36" w:name="_Toc152045538"/>
      <w:r>
        <w:rPr>
          <w:rFonts w:hint="eastAsia"/>
          <w:b/>
          <w:color w:val="auto"/>
        </w:rPr>
        <w:t>1.8 计量单位</w:t>
      </w:r>
      <w:bookmarkEnd w:id="33"/>
      <w:bookmarkEnd w:id="34"/>
      <w:bookmarkEnd w:id="35"/>
      <w:bookmarkEnd w:id="36"/>
    </w:p>
    <w:p>
      <w:pPr>
        <w:spacing w:line="420" w:lineRule="exact"/>
        <w:contextualSpacing/>
        <w:rPr>
          <w:color w:val="auto"/>
        </w:rPr>
      </w:pPr>
      <w:r>
        <w:rPr>
          <w:rFonts w:hint="eastAsia"/>
          <w:color w:val="auto"/>
        </w:rPr>
        <w:t>所有计量均采用中华人民共和国法定计量单位。</w:t>
      </w:r>
    </w:p>
    <w:p>
      <w:pPr>
        <w:spacing w:line="420" w:lineRule="exact"/>
        <w:contextualSpacing/>
        <w:rPr>
          <w:b/>
          <w:color w:val="auto"/>
        </w:rPr>
      </w:pPr>
      <w:r>
        <w:rPr>
          <w:rFonts w:hint="eastAsia"/>
          <w:b/>
          <w:color w:val="auto"/>
        </w:rPr>
        <w:t>1.9踏勘现场</w:t>
      </w:r>
    </w:p>
    <w:p>
      <w:pPr>
        <w:spacing w:line="420" w:lineRule="exact"/>
        <w:contextualSpacing/>
        <w:rPr>
          <w:color w:val="auto"/>
        </w:rPr>
      </w:pPr>
      <w:r>
        <w:rPr>
          <w:rFonts w:hint="eastAsia"/>
          <w:color w:val="auto"/>
        </w:rPr>
        <w:t>1.9.1投标人须知前附表规定组织踏勘现场的，招标人按照投标邀请书规定的时间和地点组织踏勘现场。</w:t>
      </w:r>
    </w:p>
    <w:p>
      <w:pPr>
        <w:spacing w:line="420" w:lineRule="exact"/>
        <w:contextualSpacing/>
        <w:rPr>
          <w:color w:val="auto"/>
        </w:rPr>
      </w:pPr>
      <w:r>
        <w:rPr>
          <w:rFonts w:hint="eastAsia"/>
          <w:color w:val="auto"/>
        </w:rPr>
        <w:t>1.9.2 投标人踏勘现场发生的费用自理。</w:t>
      </w:r>
    </w:p>
    <w:p>
      <w:pPr>
        <w:spacing w:line="420" w:lineRule="exact"/>
        <w:contextualSpacing/>
        <w:rPr>
          <w:color w:val="auto"/>
        </w:rPr>
      </w:pPr>
      <w:r>
        <w:rPr>
          <w:rFonts w:hint="eastAsia"/>
          <w:color w:val="auto"/>
        </w:rPr>
        <w:t>1.9.3 除招标人的原因外，投标人自行负责在踏勘现场中所发生的人员伤亡和财产损失。</w:t>
      </w:r>
    </w:p>
    <w:p>
      <w:pPr>
        <w:spacing w:line="420" w:lineRule="exact"/>
        <w:contextualSpacing/>
        <w:rPr>
          <w:color w:val="auto"/>
        </w:rPr>
      </w:pPr>
      <w:r>
        <w:rPr>
          <w:rFonts w:hint="eastAsia"/>
          <w:color w:val="auto"/>
        </w:rPr>
        <w:t>1.9.4 招标人在踏勘现场中介绍的工程场地和相关的周边环境情况，供投标人在编制投标文件时参考，招标人不对投标人据此作出的判断和决策负责。</w:t>
      </w:r>
    </w:p>
    <w:p>
      <w:pPr>
        <w:spacing w:line="420" w:lineRule="exact"/>
        <w:contextualSpacing/>
        <w:rPr>
          <w:b/>
          <w:color w:val="auto"/>
        </w:rPr>
      </w:pPr>
      <w:r>
        <w:rPr>
          <w:rFonts w:hint="eastAsia"/>
          <w:b/>
          <w:color w:val="auto"/>
        </w:rPr>
        <w:t>1.10投标预备会</w:t>
      </w:r>
    </w:p>
    <w:p>
      <w:pPr>
        <w:spacing w:line="420" w:lineRule="exact"/>
        <w:contextualSpacing/>
        <w:rPr>
          <w:color w:val="auto"/>
        </w:rPr>
      </w:pPr>
      <w:r>
        <w:rPr>
          <w:rFonts w:hint="eastAsia"/>
          <w:color w:val="auto"/>
        </w:rPr>
        <w:t>1.10.1投标人须知前附表规定召开投标预备会的，招标人按照投标邀请书规定的时间和地点召开投标预备会。</w:t>
      </w:r>
    </w:p>
    <w:p>
      <w:pPr>
        <w:spacing w:line="420" w:lineRule="exact"/>
        <w:contextualSpacing/>
        <w:rPr>
          <w:color w:val="auto"/>
        </w:rPr>
      </w:pPr>
      <w:r>
        <w:rPr>
          <w:rFonts w:hint="eastAsia"/>
          <w:color w:val="auto"/>
        </w:rPr>
        <w:t>1.10.2在投标预备会召开前，投标人应以书面形式(包括信函、电报、传真等可以有形地表现所载内容的形式，下同)将需要招标人澄清的问题送达招标人。</w:t>
      </w:r>
    </w:p>
    <w:p>
      <w:pPr>
        <w:spacing w:line="420" w:lineRule="exact"/>
        <w:contextualSpacing/>
        <w:rPr>
          <w:color w:val="auto"/>
        </w:rPr>
      </w:pPr>
      <w:r>
        <w:rPr>
          <w:rFonts w:hint="eastAsia"/>
          <w:color w:val="auto"/>
        </w:rPr>
        <w:t>1.10.3在投标人须知前附表规定的投标截止时间15天前，招标人将对投标人所提问题的澄清，以书面形式通知所有购买招标文件的投标人。该澄清通知为招标文件的组成部分。</w:t>
      </w:r>
    </w:p>
    <w:p>
      <w:pPr>
        <w:spacing w:line="420" w:lineRule="exact"/>
        <w:contextualSpacing/>
        <w:rPr>
          <w:b/>
          <w:color w:val="auto"/>
        </w:rPr>
      </w:pPr>
      <w:r>
        <w:rPr>
          <w:rFonts w:hint="eastAsia"/>
          <w:b/>
          <w:color w:val="auto"/>
        </w:rPr>
        <w:t>1.11分包</w:t>
      </w:r>
    </w:p>
    <w:p>
      <w:pPr>
        <w:spacing w:line="420" w:lineRule="exact"/>
        <w:contextualSpacing/>
        <w:rPr>
          <w:color w:val="auto"/>
        </w:rPr>
      </w:pPr>
      <w:r>
        <w:rPr>
          <w:rFonts w:hint="eastAsia"/>
          <w:color w:val="auto"/>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复印件、人员、设备和业绩资料表、分包的工程项目和工程量。</w:t>
      </w:r>
    </w:p>
    <w:p>
      <w:pPr>
        <w:spacing w:line="420" w:lineRule="exact"/>
        <w:contextualSpacing/>
        <w:rPr>
          <w:b/>
          <w:color w:val="auto"/>
        </w:rPr>
      </w:pPr>
      <w:r>
        <w:rPr>
          <w:rFonts w:hint="eastAsia"/>
          <w:b/>
          <w:color w:val="auto"/>
        </w:rPr>
        <w:t>1.12偏离</w:t>
      </w:r>
    </w:p>
    <w:p>
      <w:pPr>
        <w:spacing w:line="420" w:lineRule="exact"/>
        <w:contextualSpacing/>
        <w:rPr>
          <w:color w:val="auto"/>
        </w:rPr>
      </w:pPr>
      <w:r>
        <w:rPr>
          <w:rFonts w:hint="eastAsia"/>
          <w:color w:val="auto"/>
        </w:rPr>
        <w:t>投标文件不允许偏离招标文件的实质性要求和条件。投标文件偏离招标文件的非实质性要求和条件的，其处理方式见投标人须知前附表。</w:t>
      </w:r>
      <w:bookmarkStart w:id="37" w:name="第02章投标人须知02"/>
      <w:bookmarkEnd w:id="37"/>
    </w:p>
    <w:p>
      <w:pPr>
        <w:pStyle w:val="4"/>
        <w:tabs>
          <w:tab w:val="left" w:pos="425"/>
        </w:tabs>
        <w:ind w:left="425" w:hanging="425"/>
        <w:rPr>
          <w:rFonts w:ascii="宋体" w:hAnsi="宋体"/>
          <w:color w:val="auto"/>
          <w:spacing w:val="1"/>
          <w:w w:val="99"/>
          <w:kern w:val="0"/>
        </w:rPr>
      </w:pPr>
      <w:bookmarkStart w:id="38" w:name="_Toc434396980"/>
      <w:bookmarkStart w:id="39" w:name="_Toc433215182"/>
      <w:bookmarkStart w:id="40" w:name="_Toc518893826"/>
      <w:bookmarkStart w:id="41" w:name="_Toc518908449"/>
      <w:r>
        <w:rPr>
          <w:rFonts w:hint="eastAsia" w:ascii="宋体" w:hAnsi="宋体"/>
          <w:color w:val="auto"/>
          <w:spacing w:val="1"/>
          <w:w w:val="99"/>
          <w:kern w:val="0"/>
        </w:rPr>
        <w:t>2招标文件</w:t>
      </w:r>
      <w:bookmarkEnd w:id="38"/>
      <w:bookmarkEnd w:id="39"/>
      <w:bookmarkEnd w:id="40"/>
      <w:bookmarkEnd w:id="41"/>
    </w:p>
    <w:p>
      <w:pPr>
        <w:spacing w:line="420" w:lineRule="exact"/>
        <w:contextualSpacing/>
        <w:rPr>
          <w:b/>
          <w:color w:val="auto"/>
        </w:rPr>
      </w:pPr>
      <w:bookmarkStart w:id="42" w:name="_Toc144974511"/>
      <w:bookmarkStart w:id="43" w:name="_Toc152042319"/>
      <w:bookmarkStart w:id="44" w:name="_Toc179632561"/>
      <w:bookmarkStart w:id="45" w:name="_Toc152045543"/>
      <w:r>
        <w:rPr>
          <w:rFonts w:hint="eastAsia"/>
          <w:b/>
          <w:color w:val="auto"/>
        </w:rPr>
        <w:t>2.1 招标文件的组成</w:t>
      </w:r>
      <w:bookmarkEnd w:id="42"/>
      <w:bookmarkEnd w:id="43"/>
      <w:bookmarkEnd w:id="44"/>
      <w:bookmarkEnd w:id="45"/>
    </w:p>
    <w:p>
      <w:pPr>
        <w:spacing w:line="420" w:lineRule="exact"/>
        <w:contextualSpacing/>
        <w:rPr>
          <w:color w:val="auto"/>
        </w:rPr>
      </w:pPr>
      <w:r>
        <w:rPr>
          <w:rFonts w:hint="eastAsia"/>
          <w:color w:val="auto"/>
        </w:rPr>
        <w:t>本招标文件包括：</w:t>
      </w:r>
    </w:p>
    <w:p>
      <w:pPr>
        <w:spacing w:line="420" w:lineRule="exact"/>
        <w:contextualSpacing/>
        <w:rPr>
          <w:color w:val="auto"/>
        </w:rPr>
      </w:pPr>
      <w:r>
        <w:rPr>
          <w:rFonts w:hint="eastAsia"/>
          <w:color w:val="auto"/>
        </w:rPr>
        <w:t>（1）投标邀请书；</w:t>
      </w:r>
    </w:p>
    <w:p>
      <w:pPr>
        <w:spacing w:line="420" w:lineRule="exact"/>
        <w:contextualSpacing/>
        <w:rPr>
          <w:color w:val="auto"/>
        </w:rPr>
      </w:pPr>
      <w:r>
        <w:rPr>
          <w:rFonts w:hint="eastAsia"/>
          <w:color w:val="auto"/>
        </w:rPr>
        <w:t>（2）投标人须知；</w:t>
      </w:r>
    </w:p>
    <w:p>
      <w:pPr>
        <w:spacing w:line="420" w:lineRule="exact"/>
        <w:contextualSpacing/>
        <w:rPr>
          <w:color w:val="auto"/>
        </w:rPr>
      </w:pPr>
      <w:r>
        <w:rPr>
          <w:rFonts w:hint="eastAsia"/>
          <w:color w:val="auto"/>
        </w:rPr>
        <w:t>（3）评标办法；</w:t>
      </w:r>
    </w:p>
    <w:p>
      <w:pPr>
        <w:spacing w:line="420" w:lineRule="exact"/>
        <w:contextualSpacing/>
        <w:rPr>
          <w:color w:val="auto"/>
        </w:rPr>
      </w:pPr>
      <w:r>
        <w:rPr>
          <w:rFonts w:hint="eastAsia"/>
          <w:color w:val="auto"/>
        </w:rPr>
        <w:t>（4）合同条款及格式；</w:t>
      </w:r>
    </w:p>
    <w:p>
      <w:pPr>
        <w:spacing w:line="420" w:lineRule="exact"/>
        <w:contextualSpacing/>
        <w:rPr>
          <w:color w:val="auto"/>
        </w:rPr>
      </w:pPr>
      <w:r>
        <w:rPr>
          <w:rFonts w:hint="eastAsia"/>
          <w:color w:val="auto"/>
        </w:rPr>
        <w:t>（5）工程量清单；</w:t>
      </w:r>
    </w:p>
    <w:p>
      <w:pPr>
        <w:spacing w:line="420" w:lineRule="exact"/>
        <w:contextualSpacing/>
        <w:rPr>
          <w:color w:val="auto"/>
        </w:rPr>
      </w:pPr>
      <w:r>
        <w:rPr>
          <w:rFonts w:hint="eastAsia"/>
          <w:color w:val="auto"/>
        </w:rPr>
        <w:t>（6）技术标准和要求；</w:t>
      </w:r>
    </w:p>
    <w:p>
      <w:pPr>
        <w:spacing w:line="420" w:lineRule="exact"/>
        <w:contextualSpacing/>
        <w:rPr>
          <w:color w:val="auto"/>
        </w:rPr>
      </w:pPr>
      <w:r>
        <w:rPr>
          <w:rFonts w:hint="eastAsia"/>
          <w:color w:val="auto"/>
        </w:rPr>
        <w:t>（7）投标文件格式；</w:t>
      </w:r>
    </w:p>
    <w:p>
      <w:pPr>
        <w:spacing w:line="360" w:lineRule="auto"/>
        <w:contextualSpacing/>
        <w:rPr>
          <w:color w:val="auto"/>
        </w:rPr>
      </w:pPr>
      <w:r>
        <w:rPr>
          <w:rFonts w:hint="eastAsia"/>
          <w:color w:val="auto"/>
        </w:rPr>
        <w:t>根据本章第1.10款、第2.2款对招标文件所作的澄清、修改，构成招标文件的组成部分。</w:t>
      </w:r>
    </w:p>
    <w:p>
      <w:pPr>
        <w:spacing w:line="360" w:lineRule="auto"/>
        <w:contextualSpacing/>
        <w:rPr>
          <w:b/>
          <w:color w:val="auto"/>
        </w:rPr>
      </w:pPr>
      <w:r>
        <w:rPr>
          <w:rFonts w:hint="eastAsia"/>
          <w:b/>
          <w:color w:val="auto"/>
        </w:rPr>
        <w:t>2.2招标文件的</w:t>
      </w:r>
      <w:r>
        <w:rPr>
          <w:rFonts w:hint="eastAsia" w:ascii="宋体" w:hAnsi="宋体"/>
          <w:b/>
          <w:bCs/>
          <w:color w:val="auto"/>
          <w:szCs w:val="21"/>
        </w:rPr>
        <w:t>澄清或修改</w:t>
      </w:r>
    </w:p>
    <w:p>
      <w:pPr>
        <w:pStyle w:val="56"/>
        <w:numPr>
          <w:ilvl w:val="0"/>
          <w:numId w:val="3"/>
        </w:numPr>
        <w:tabs>
          <w:tab w:val="left" w:pos="709"/>
        </w:tabs>
        <w:snapToGrid w:val="0"/>
        <w:spacing w:line="360" w:lineRule="auto"/>
        <w:ind w:firstLineChars="0"/>
        <w:rPr>
          <w:rFonts w:ascii="宋体" w:hAnsi="宋体" w:cs="宋体"/>
          <w:color w:val="auto"/>
          <w:szCs w:val="21"/>
          <w:lang w:eastAsia="zh-TW"/>
        </w:rPr>
      </w:pPr>
      <w:r>
        <w:rPr>
          <w:rFonts w:hint="eastAsia" w:ascii="宋体" w:hAnsi="宋体" w:cs="宋体"/>
          <w:color w:val="auto"/>
          <w:sz w:val="21"/>
          <w:szCs w:val="21"/>
          <w:lang w:eastAsia="zh-TW"/>
        </w:rPr>
        <w:t>招标人可以对已发出的招标文件进行必要的澄清或者修改。澄清或者修改应当在原公告发布媒体上发布澄清（更正/变更）公告。</w:t>
      </w:r>
    </w:p>
    <w:p>
      <w:pPr>
        <w:pStyle w:val="56"/>
        <w:numPr>
          <w:ilvl w:val="0"/>
          <w:numId w:val="3"/>
        </w:numPr>
        <w:tabs>
          <w:tab w:val="left" w:pos="709"/>
        </w:tabs>
        <w:snapToGrid w:val="0"/>
        <w:spacing w:line="360" w:lineRule="auto"/>
        <w:ind w:firstLineChars="0"/>
        <w:rPr>
          <w:rFonts w:ascii="宋体" w:hAnsi="宋体" w:cs="宋体"/>
          <w:color w:val="auto"/>
          <w:szCs w:val="21"/>
          <w:lang w:eastAsia="zh-TW"/>
        </w:rPr>
      </w:pPr>
      <w:r>
        <w:rPr>
          <w:rFonts w:hint="eastAsia" w:ascii="宋体" w:hAnsi="宋体" w:cs="宋体"/>
          <w:color w:val="auto"/>
          <w:sz w:val="21"/>
          <w:szCs w:val="21"/>
          <w:lang w:eastAsia="zh-TW"/>
        </w:rPr>
        <w:t>澄清或者修改的内容可能影响投标文件编制的，招标人应当在投标截止时</w:t>
      </w:r>
      <w:r>
        <w:rPr>
          <w:rFonts w:hint="eastAsia" w:ascii="宋体" w:hAnsi="宋体" w:cs="宋体"/>
          <w:color w:val="auto"/>
          <w:szCs w:val="21"/>
          <w:lang w:eastAsia="zh-TW"/>
        </w:rPr>
        <w:t>间</w:t>
      </w:r>
      <w:r>
        <w:rPr>
          <w:rFonts w:hint="eastAsia" w:ascii="宋体" w:hAnsi="宋体" w:cs="宋体"/>
          <w:color w:val="auto"/>
          <w:sz w:val="21"/>
          <w:szCs w:val="21"/>
          <w:lang w:eastAsia="zh-TW"/>
        </w:rPr>
        <w:t>至少15日前，以书面形式通知所有获取招标文件的潜在投标人；不足15日的，招标人应当顺延提交投标文件的截止时间。</w:t>
      </w:r>
    </w:p>
    <w:p>
      <w:pPr>
        <w:pStyle w:val="56"/>
        <w:numPr>
          <w:ilvl w:val="0"/>
          <w:numId w:val="3"/>
        </w:numPr>
        <w:tabs>
          <w:tab w:val="left" w:pos="709"/>
        </w:tabs>
        <w:snapToGrid w:val="0"/>
        <w:spacing w:line="360" w:lineRule="auto"/>
        <w:ind w:firstLineChars="0"/>
        <w:rPr>
          <w:rFonts w:ascii="宋体" w:hAnsi="宋体" w:cs="宋体"/>
          <w:color w:val="auto"/>
          <w:szCs w:val="21"/>
          <w:lang w:eastAsia="zh-TW"/>
        </w:rPr>
      </w:pPr>
      <w:r>
        <w:rPr>
          <w:rFonts w:hint="eastAsia" w:ascii="宋体" w:hAnsi="宋体" w:cs="宋体"/>
          <w:color w:val="auto"/>
          <w:sz w:val="21"/>
          <w:szCs w:val="21"/>
          <w:lang w:eastAsia="zh-TW"/>
        </w:rPr>
        <w:t>招标人将澄清（更正/变更）公告以书面形式通知所有获取招标文件的潜在投标人，潜在投标人在收到澄清（更正/变更）公告书面通知后应按要求以书面形式（</w:t>
      </w:r>
      <w:r>
        <w:rPr>
          <w:rFonts w:ascii="宋体" w:hAnsi="宋体" w:cs="宋体"/>
          <w:color w:val="auto"/>
          <w:sz w:val="21"/>
          <w:szCs w:val="21"/>
          <w:lang w:eastAsia="zh-TW"/>
        </w:rPr>
        <w:t>传真</w:t>
      </w:r>
      <w:r>
        <w:rPr>
          <w:rFonts w:hint="eastAsia" w:ascii="宋体" w:hAnsi="宋体" w:cs="宋体"/>
          <w:color w:val="auto"/>
          <w:sz w:val="21"/>
          <w:szCs w:val="21"/>
          <w:lang w:eastAsia="zh-TW"/>
        </w:rPr>
        <w:t>或</w:t>
      </w:r>
      <w:r>
        <w:rPr>
          <w:rFonts w:ascii="宋体" w:hAnsi="宋体" w:cs="宋体"/>
          <w:color w:val="auto"/>
          <w:sz w:val="21"/>
          <w:szCs w:val="21"/>
          <w:lang w:eastAsia="zh-TW"/>
        </w:rPr>
        <w:t>电子邮件</w:t>
      </w:r>
      <w:r>
        <w:rPr>
          <w:rFonts w:hint="eastAsia" w:ascii="宋体" w:hAnsi="宋体" w:cs="宋体"/>
          <w:color w:val="auto"/>
          <w:sz w:val="21"/>
          <w:szCs w:val="21"/>
          <w:lang w:eastAsia="zh-TW"/>
        </w:rPr>
        <w:t>）予以确认。如在24小时之内无书面确认则视为同意修改内容，并有责任履行相应的义务。</w:t>
      </w:r>
    </w:p>
    <w:p>
      <w:pPr>
        <w:pStyle w:val="56"/>
        <w:numPr>
          <w:ilvl w:val="0"/>
          <w:numId w:val="3"/>
        </w:numPr>
        <w:tabs>
          <w:tab w:val="left" w:pos="709"/>
        </w:tabs>
        <w:snapToGrid w:val="0"/>
        <w:spacing w:line="360" w:lineRule="auto"/>
        <w:ind w:firstLineChars="0"/>
        <w:rPr>
          <w:rFonts w:ascii="宋体" w:hAnsi="宋体" w:cs="宋体"/>
          <w:color w:val="auto"/>
          <w:szCs w:val="21"/>
          <w:lang w:eastAsia="zh-TW"/>
        </w:rPr>
      </w:pPr>
      <w:r>
        <w:rPr>
          <w:rFonts w:hint="eastAsia" w:ascii="宋体" w:hAnsi="宋体" w:cs="宋体"/>
          <w:color w:val="auto"/>
          <w:sz w:val="21"/>
          <w:szCs w:val="21"/>
          <w:lang w:eastAsia="zh-TW"/>
        </w:rPr>
        <w:t>招标人发出的澄清或修改（更正/变更）的内容为招标文件的组成部分，并对潜在投标人具有约束力。</w:t>
      </w:r>
    </w:p>
    <w:p>
      <w:pPr>
        <w:pStyle w:val="4"/>
        <w:tabs>
          <w:tab w:val="left" w:pos="425"/>
        </w:tabs>
        <w:ind w:left="425" w:hanging="425"/>
        <w:rPr>
          <w:rFonts w:ascii="宋体" w:hAnsi="宋体"/>
          <w:color w:val="auto"/>
          <w:spacing w:val="1"/>
          <w:w w:val="99"/>
          <w:kern w:val="0"/>
        </w:rPr>
      </w:pPr>
      <w:bookmarkStart w:id="46" w:name="第02章投标人须知03"/>
      <w:bookmarkEnd w:id="46"/>
      <w:bookmarkStart w:id="47" w:name="_Toc518893827"/>
      <w:bookmarkStart w:id="48" w:name="_Toc434396981"/>
      <w:bookmarkStart w:id="49" w:name="_Toc518908450"/>
      <w:bookmarkStart w:id="50" w:name="_Toc433215183"/>
      <w:r>
        <w:rPr>
          <w:rFonts w:hint="eastAsia" w:ascii="宋体" w:hAnsi="宋体"/>
          <w:color w:val="auto"/>
          <w:spacing w:val="1"/>
          <w:w w:val="99"/>
          <w:kern w:val="0"/>
        </w:rPr>
        <w:t>3　投标文件</w:t>
      </w:r>
      <w:bookmarkEnd w:id="47"/>
      <w:bookmarkEnd w:id="48"/>
      <w:bookmarkEnd w:id="49"/>
      <w:bookmarkEnd w:id="50"/>
    </w:p>
    <w:p>
      <w:pPr>
        <w:spacing w:line="420" w:lineRule="exact"/>
        <w:contextualSpacing/>
        <w:rPr>
          <w:b/>
          <w:color w:val="auto"/>
        </w:rPr>
      </w:pPr>
      <w:bookmarkStart w:id="51" w:name="_Toc144974515"/>
      <w:bookmarkStart w:id="52" w:name="_Toc152045547"/>
      <w:bookmarkStart w:id="53" w:name="_Toc152042323"/>
      <w:bookmarkStart w:id="54" w:name="_Toc179632565"/>
      <w:r>
        <w:rPr>
          <w:rFonts w:hint="eastAsia"/>
          <w:b/>
          <w:color w:val="auto"/>
        </w:rPr>
        <w:t>3.1投标文件的组成</w:t>
      </w:r>
      <w:bookmarkEnd w:id="51"/>
      <w:bookmarkEnd w:id="52"/>
      <w:bookmarkEnd w:id="53"/>
      <w:bookmarkEnd w:id="54"/>
    </w:p>
    <w:p>
      <w:pPr>
        <w:spacing w:line="420" w:lineRule="exact"/>
        <w:contextualSpacing/>
        <w:rPr>
          <w:color w:val="auto"/>
        </w:rPr>
      </w:pPr>
      <w:r>
        <w:rPr>
          <w:rFonts w:hint="eastAsia"/>
          <w:color w:val="auto"/>
        </w:rPr>
        <w:t>3.1.1投标文件的组成见第7章投标文件格式：</w:t>
      </w:r>
    </w:p>
    <w:p>
      <w:pPr>
        <w:spacing w:line="420" w:lineRule="exact"/>
        <w:contextualSpacing/>
        <w:rPr>
          <w:b/>
          <w:color w:val="auto"/>
        </w:rPr>
      </w:pPr>
      <w:bookmarkStart w:id="55" w:name="_Toc144974516"/>
      <w:bookmarkStart w:id="56" w:name="_Toc152042324"/>
      <w:bookmarkStart w:id="57" w:name="_Toc152045548"/>
      <w:bookmarkStart w:id="58" w:name="_Toc179632566"/>
      <w:r>
        <w:rPr>
          <w:rFonts w:hint="eastAsia"/>
          <w:b/>
          <w:color w:val="auto"/>
        </w:rPr>
        <w:t>3.2 投标报价</w:t>
      </w:r>
      <w:bookmarkEnd w:id="55"/>
      <w:bookmarkEnd w:id="56"/>
      <w:bookmarkEnd w:id="57"/>
      <w:bookmarkEnd w:id="58"/>
    </w:p>
    <w:p>
      <w:pPr>
        <w:spacing w:line="420" w:lineRule="exact"/>
        <w:contextualSpacing/>
        <w:rPr>
          <w:color w:val="auto"/>
        </w:rPr>
      </w:pPr>
      <w:r>
        <w:rPr>
          <w:rFonts w:hint="eastAsia"/>
          <w:color w:val="auto"/>
        </w:rPr>
        <w:t>3.2.1投标人应按第五章“工程量清单”的要求填写相应表格。</w:t>
      </w:r>
    </w:p>
    <w:p>
      <w:pPr>
        <w:spacing w:line="420" w:lineRule="exact"/>
        <w:contextualSpacing/>
        <w:rPr>
          <w:color w:val="auto"/>
        </w:rPr>
      </w:pPr>
      <w:r>
        <w:rPr>
          <w:rFonts w:hint="eastAsia"/>
          <w:color w:val="auto"/>
        </w:rPr>
        <w:t>3.2.2投标人在投标截止时间前修改投标函中的投标总报价，应同时修改第五章“工程量清单”中的相应报价。此修改须符合本章第4.3款的有关要求。</w:t>
      </w:r>
    </w:p>
    <w:p>
      <w:pPr>
        <w:spacing w:line="420" w:lineRule="exact"/>
        <w:contextualSpacing/>
        <w:rPr>
          <w:color w:val="auto"/>
        </w:rPr>
      </w:pPr>
      <w:r>
        <w:rPr>
          <w:rFonts w:hint="eastAsia"/>
          <w:color w:val="auto"/>
        </w:rPr>
        <w:t>3.2.3投标报价按照投标人须知前附表规定填写。</w:t>
      </w:r>
    </w:p>
    <w:p>
      <w:pPr>
        <w:spacing w:line="420" w:lineRule="exact"/>
        <w:contextualSpacing/>
        <w:rPr>
          <w:b/>
          <w:color w:val="auto"/>
        </w:rPr>
      </w:pPr>
      <w:bookmarkStart w:id="59" w:name="_Toc179632567"/>
      <w:bookmarkStart w:id="60" w:name="_Toc152045549"/>
      <w:bookmarkStart w:id="61" w:name="_Toc144974517"/>
      <w:bookmarkStart w:id="62" w:name="_Toc152042325"/>
      <w:r>
        <w:rPr>
          <w:rFonts w:hint="eastAsia"/>
          <w:b/>
          <w:color w:val="auto"/>
        </w:rPr>
        <w:t>3.3 投标有效期</w:t>
      </w:r>
      <w:bookmarkEnd w:id="59"/>
      <w:bookmarkEnd w:id="60"/>
      <w:bookmarkEnd w:id="61"/>
      <w:bookmarkEnd w:id="62"/>
    </w:p>
    <w:p>
      <w:pPr>
        <w:spacing w:line="420" w:lineRule="exact"/>
        <w:contextualSpacing/>
        <w:rPr>
          <w:color w:val="auto"/>
        </w:rPr>
      </w:pPr>
      <w:r>
        <w:rPr>
          <w:rFonts w:hint="eastAsia"/>
          <w:color w:val="auto"/>
        </w:rPr>
        <w:t>3.3.1在投标人须知前附表规定的投标有效期内，投标人不得要求撤销或修改其投标文件。</w:t>
      </w:r>
    </w:p>
    <w:p>
      <w:pPr>
        <w:spacing w:line="420" w:lineRule="exact"/>
        <w:contextualSpacing/>
        <w:rPr>
          <w:color w:val="auto"/>
        </w:rPr>
      </w:pPr>
      <w:r>
        <w:rPr>
          <w:rFonts w:hint="eastAsia"/>
          <w:color w:val="auto"/>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20" w:lineRule="exact"/>
        <w:contextualSpacing/>
        <w:rPr>
          <w:b/>
          <w:color w:val="auto"/>
        </w:rPr>
      </w:pPr>
      <w:bookmarkStart w:id="63" w:name="_Toc152042326"/>
      <w:bookmarkStart w:id="64" w:name="_Toc144974518"/>
      <w:bookmarkStart w:id="65" w:name="_Toc179632568"/>
      <w:bookmarkStart w:id="66" w:name="_Toc152045550"/>
      <w:r>
        <w:rPr>
          <w:rFonts w:hint="eastAsia"/>
          <w:b/>
          <w:color w:val="auto"/>
        </w:rPr>
        <w:t>3.4 投标保证金</w:t>
      </w:r>
      <w:bookmarkEnd w:id="63"/>
      <w:bookmarkEnd w:id="64"/>
      <w:bookmarkEnd w:id="65"/>
      <w:bookmarkEnd w:id="66"/>
    </w:p>
    <w:p>
      <w:pPr>
        <w:spacing w:line="420" w:lineRule="exact"/>
        <w:contextualSpacing/>
        <w:rPr>
          <w:color w:val="auto"/>
        </w:rPr>
      </w:pPr>
      <w:r>
        <w:rPr>
          <w:rFonts w:hint="eastAsia"/>
          <w:color w:val="auto"/>
        </w:rPr>
        <w:t>3.4.1 投标人在递交投标文件的同时，应按投标人须知前附表规定的金额、担保形式递交投标保证金，并作为其投标文件的组成部分。联合体投标的，其投标保证金由牵头人递交，并应符合投标人须知前附表的规定。</w:t>
      </w:r>
    </w:p>
    <w:p>
      <w:pPr>
        <w:spacing w:line="420" w:lineRule="exact"/>
        <w:contextualSpacing/>
        <w:rPr>
          <w:color w:val="auto"/>
        </w:rPr>
      </w:pPr>
      <w:r>
        <w:rPr>
          <w:rFonts w:hint="eastAsia"/>
          <w:color w:val="auto"/>
        </w:rPr>
        <w:t>3.4.2 投标人不按本章第3.4.1项要求提交投标保证金的，</w:t>
      </w:r>
      <w:r>
        <w:rPr>
          <w:rFonts w:hint="eastAsia" w:ascii="宋体" w:hAnsi="宋体" w:cs="MS Mincho"/>
          <w:color w:val="auto"/>
          <w:szCs w:val="21"/>
        </w:rPr>
        <w:t>其投标将被否决</w:t>
      </w:r>
      <w:r>
        <w:rPr>
          <w:rFonts w:hint="eastAsia"/>
          <w:color w:val="auto"/>
        </w:rPr>
        <w:t>。</w:t>
      </w:r>
    </w:p>
    <w:p>
      <w:pPr>
        <w:spacing w:line="420" w:lineRule="exact"/>
        <w:contextualSpacing/>
        <w:rPr>
          <w:color w:val="auto"/>
        </w:rPr>
      </w:pPr>
      <w:r>
        <w:rPr>
          <w:rFonts w:hint="eastAsia"/>
          <w:color w:val="auto"/>
        </w:rPr>
        <w:t>3.4.3</w:t>
      </w:r>
      <w:r>
        <w:rPr>
          <w:rFonts w:hint="eastAsia" w:ascii="宋体" w:hAnsi="宋体" w:cs="宋体"/>
          <w:color w:val="auto"/>
          <w:szCs w:val="21"/>
          <w:lang w:eastAsia="zh-TW"/>
        </w:rPr>
        <w:t>在招标人与中标人签订书面合同后 5 日内，</w:t>
      </w:r>
      <w:r>
        <w:rPr>
          <w:rFonts w:hint="eastAsia" w:ascii="宋体" w:hAnsi="宋体" w:cs="宋体"/>
          <w:color w:val="auto"/>
          <w:szCs w:val="21"/>
        </w:rPr>
        <w:t>招标人</w:t>
      </w:r>
      <w:r>
        <w:rPr>
          <w:rFonts w:hint="eastAsia" w:ascii="宋体" w:hAnsi="宋体" w:cs="宋体"/>
          <w:color w:val="auto"/>
          <w:szCs w:val="21"/>
          <w:lang w:eastAsia="zh-TW"/>
        </w:rPr>
        <w:t>将向</w:t>
      </w:r>
      <w:r>
        <w:rPr>
          <w:rFonts w:hint="eastAsia" w:ascii="宋体" w:hAnsi="宋体" w:cs="宋体"/>
          <w:color w:val="auto"/>
          <w:szCs w:val="21"/>
        </w:rPr>
        <w:t>中标人和</w:t>
      </w:r>
      <w:r>
        <w:rPr>
          <w:rFonts w:hint="eastAsia" w:ascii="宋体" w:hAnsi="宋体" w:cs="宋体"/>
          <w:color w:val="auto"/>
          <w:szCs w:val="21"/>
          <w:lang w:eastAsia="zh-TW"/>
        </w:rPr>
        <w:t>未中标的投标人退还投标保证金。</w:t>
      </w:r>
      <w:r>
        <w:rPr>
          <w:rFonts w:hint="eastAsia"/>
          <w:color w:val="auto"/>
        </w:rPr>
        <w:t>。</w:t>
      </w:r>
    </w:p>
    <w:p>
      <w:pPr>
        <w:spacing w:line="420" w:lineRule="exact"/>
        <w:contextualSpacing/>
        <w:rPr>
          <w:color w:val="auto"/>
        </w:rPr>
      </w:pPr>
      <w:r>
        <w:rPr>
          <w:rFonts w:hint="eastAsia"/>
          <w:color w:val="auto"/>
        </w:rPr>
        <w:t>3.4.4 有下列情形之一的，投标保证金将不予退还：</w:t>
      </w:r>
    </w:p>
    <w:p>
      <w:pPr>
        <w:spacing w:line="420" w:lineRule="exact"/>
        <w:contextualSpacing/>
        <w:rPr>
          <w:color w:val="auto"/>
        </w:rPr>
      </w:pPr>
      <w:r>
        <w:rPr>
          <w:rFonts w:hint="eastAsia"/>
          <w:color w:val="auto"/>
        </w:rPr>
        <w:t>（1）投标人在规定的投标有效期内撤销其投标文件；</w:t>
      </w:r>
    </w:p>
    <w:p>
      <w:pPr>
        <w:spacing w:line="420" w:lineRule="exact"/>
        <w:contextualSpacing/>
        <w:rPr>
          <w:color w:val="auto"/>
        </w:rPr>
      </w:pPr>
      <w:r>
        <w:rPr>
          <w:rFonts w:hint="eastAsia"/>
          <w:color w:val="auto"/>
        </w:rPr>
        <w:t>（2）中标人在收到中标通知书后，无正当理由拒签合同协议书或未按招标文件规定提交履约担保；</w:t>
      </w:r>
    </w:p>
    <w:p>
      <w:pPr>
        <w:spacing w:line="420" w:lineRule="exact"/>
        <w:contextualSpacing/>
        <w:rPr>
          <w:rFonts w:ascii="宋体" w:hAnsi="宋体" w:cs="宋体"/>
          <w:color w:val="auto"/>
          <w:szCs w:val="21"/>
        </w:rPr>
      </w:pPr>
      <w:r>
        <w:rPr>
          <w:rFonts w:hint="eastAsia"/>
          <w:color w:val="auto"/>
        </w:rPr>
        <w:t>（3）</w:t>
      </w:r>
      <w:r>
        <w:rPr>
          <w:rFonts w:hint="eastAsia" w:ascii="宋体" w:hAnsi="宋体" w:cs="宋体"/>
          <w:color w:val="auto"/>
          <w:szCs w:val="21"/>
        </w:rPr>
        <w:t>中标后中标人放弃中标资格的；</w:t>
      </w:r>
    </w:p>
    <w:p>
      <w:pPr>
        <w:spacing w:line="420" w:lineRule="exact"/>
        <w:contextualSpacing/>
        <w:rPr>
          <w:rFonts w:ascii="宋体" w:hAnsi="宋体" w:cs="宋体"/>
          <w:color w:val="auto"/>
          <w:szCs w:val="21"/>
        </w:rPr>
      </w:pPr>
      <w:r>
        <w:rPr>
          <w:rFonts w:hint="eastAsia"/>
          <w:color w:val="auto"/>
        </w:rPr>
        <w:t>（4）</w:t>
      </w:r>
      <w:r>
        <w:rPr>
          <w:rFonts w:hint="eastAsia" w:ascii="宋体" w:hAnsi="宋体" w:cs="宋体"/>
          <w:color w:val="auto"/>
          <w:szCs w:val="21"/>
        </w:rPr>
        <w:t>投</w:t>
      </w:r>
      <w:r>
        <w:rPr>
          <w:rFonts w:hint="eastAsia" w:ascii="宋体" w:hAnsi="宋体" w:cs="宋体"/>
          <w:color w:val="auto"/>
          <w:szCs w:val="21"/>
          <w:lang w:eastAsia="zh-TW"/>
        </w:rPr>
        <w:t>标人在招标文件中提供虚假材料的；</w:t>
      </w:r>
    </w:p>
    <w:p>
      <w:pPr>
        <w:spacing w:line="420" w:lineRule="exact"/>
        <w:contextualSpacing/>
        <w:rPr>
          <w:rFonts w:ascii="宋体" w:hAnsi="宋体" w:cs="宋体"/>
          <w:color w:val="auto"/>
          <w:szCs w:val="21"/>
        </w:rPr>
      </w:pPr>
      <w:r>
        <w:rPr>
          <w:rFonts w:hint="eastAsia"/>
          <w:color w:val="auto"/>
        </w:rPr>
        <w:t>（5）</w:t>
      </w:r>
      <w:r>
        <w:rPr>
          <w:rFonts w:hint="eastAsia" w:ascii="宋体" w:hAnsi="宋体" w:cs="宋体"/>
          <w:color w:val="auto"/>
          <w:szCs w:val="21"/>
          <w:lang w:eastAsia="zh-TW"/>
        </w:rPr>
        <w:t>除因不可抗力或招标文件认可的情形以外，中标人不与招标人签订合同的</w:t>
      </w:r>
      <w:r>
        <w:rPr>
          <w:rFonts w:hint="eastAsia" w:ascii="宋体" w:hAnsi="宋体" w:cs="宋体"/>
          <w:color w:val="auto"/>
          <w:szCs w:val="21"/>
        </w:rPr>
        <w:t>或在签订合同时向招标人提出附加条件的</w:t>
      </w:r>
      <w:r>
        <w:rPr>
          <w:rFonts w:hint="eastAsia" w:ascii="宋体" w:hAnsi="宋体" w:cs="宋体"/>
          <w:color w:val="auto"/>
          <w:szCs w:val="21"/>
          <w:lang w:eastAsia="zh-TW"/>
        </w:rPr>
        <w:t>；</w:t>
      </w:r>
    </w:p>
    <w:p>
      <w:pPr>
        <w:spacing w:line="420" w:lineRule="exact"/>
        <w:contextualSpacing/>
        <w:rPr>
          <w:rFonts w:ascii="宋体" w:hAnsi="宋体" w:cs="宋体"/>
          <w:color w:val="auto"/>
          <w:szCs w:val="21"/>
        </w:rPr>
      </w:pPr>
      <w:r>
        <w:rPr>
          <w:rFonts w:hint="eastAsia"/>
          <w:color w:val="auto"/>
        </w:rPr>
        <w:t>（6）</w:t>
      </w:r>
      <w:r>
        <w:rPr>
          <w:rFonts w:hint="eastAsia" w:ascii="宋体" w:hAnsi="宋体" w:cs="宋体"/>
          <w:color w:val="auto"/>
          <w:szCs w:val="21"/>
        </w:rPr>
        <w:t>属于投标人相互串通投标的情形</w:t>
      </w:r>
      <w:r>
        <w:rPr>
          <w:rFonts w:hint="eastAsia" w:ascii="宋体" w:hAnsi="宋体" w:cs="宋体"/>
          <w:color w:val="auto"/>
          <w:szCs w:val="21"/>
          <w:lang w:eastAsia="zh-TW"/>
        </w:rPr>
        <w:t>；</w:t>
      </w:r>
    </w:p>
    <w:p>
      <w:pPr>
        <w:spacing w:line="420" w:lineRule="exact"/>
        <w:contextualSpacing/>
        <w:rPr>
          <w:color w:val="auto"/>
        </w:rPr>
      </w:pPr>
      <w:r>
        <w:rPr>
          <w:rFonts w:hint="eastAsia"/>
          <w:color w:val="auto"/>
        </w:rPr>
        <w:t>（7）</w:t>
      </w:r>
      <w:r>
        <w:rPr>
          <w:rFonts w:hint="eastAsia" w:ascii="宋体" w:hAnsi="宋体" w:cs="宋体"/>
          <w:color w:val="auto"/>
          <w:szCs w:val="21"/>
          <w:lang w:eastAsia="zh-TW"/>
        </w:rPr>
        <w:t>中标人未按本须知规定</w:t>
      </w:r>
      <w:r>
        <w:rPr>
          <w:rFonts w:hint="eastAsia" w:ascii="宋体" w:hAnsi="宋体" w:cs="宋体"/>
          <w:color w:val="auto"/>
          <w:szCs w:val="21"/>
        </w:rPr>
        <w:t>缴</w:t>
      </w:r>
      <w:r>
        <w:rPr>
          <w:rFonts w:hint="eastAsia" w:ascii="宋体" w:hAnsi="宋体" w:cs="宋体"/>
          <w:color w:val="auto"/>
          <w:szCs w:val="21"/>
          <w:lang w:eastAsia="zh-TW"/>
        </w:rPr>
        <w:t>纳招标代理服务费。</w:t>
      </w:r>
    </w:p>
    <w:p>
      <w:pPr>
        <w:spacing w:line="420" w:lineRule="exact"/>
        <w:contextualSpacing/>
        <w:rPr>
          <w:b/>
          <w:color w:val="auto"/>
        </w:rPr>
      </w:pPr>
      <w:r>
        <w:rPr>
          <w:rFonts w:hint="eastAsia"/>
          <w:b/>
          <w:color w:val="auto"/>
        </w:rPr>
        <w:t>3.5资格审查资料</w:t>
      </w:r>
    </w:p>
    <w:p>
      <w:pPr>
        <w:spacing w:line="420" w:lineRule="exact"/>
        <w:contextualSpacing/>
        <w:rPr>
          <w:color w:val="auto"/>
        </w:rPr>
      </w:pPr>
      <w:r>
        <w:rPr>
          <w:rFonts w:hint="eastAsia"/>
          <w:color w:val="auto"/>
        </w:rPr>
        <w:t>详见第1章投标邀请书中投标人资格要求。</w:t>
      </w:r>
    </w:p>
    <w:p>
      <w:pPr>
        <w:spacing w:line="420" w:lineRule="exact"/>
        <w:contextualSpacing/>
        <w:rPr>
          <w:b/>
          <w:color w:val="auto"/>
        </w:rPr>
      </w:pPr>
      <w:r>
        <w:rPr>
          <w:rFonts w:hint="eastAsia"/>
          <w:b/>
          <w:color w:val="auto"/>
        </w:rPr>
        <w:t>3.6备选投标方案</w:t>
      </w:r>
    </w:p>
    <w:p>
      <w:pPr>
        <w:spacing w:line="420" w:lineRule="exact"/>
        <w:contextualSpacing/>
        <w:rPr>
          <w:color w:val="auto"/>
        </w:rPr>
      </w:pPr>
      <w:r>
        <w:rPr>
          <w:rFonts w:hint="eastAsia"/>
          <w:color w:val="auto"/>
        </w:rPr>
        <w:t>招标人不接受备选投标方案。</w:t>
      </w:r>
    </w:p>
    <w:p>
      <w:pPr>
        <w:spacing w:line="420" w:lineRule="exact"/>
        <w:contextualSpacing/>
        <w:rPr>
          <w:b/>
          <w:color w:val="auto"/>
        </w:rPr>
      </w:pPr>
      <w:r>
        <w:rPr>
          <w:rFonts w:hint="eastAsia"/>
          <w:b/>
          <w:color w:val="auto"/>
        </w:rPr>
        <w:t>3.7投标文件的编制</w:t>
      </w:r>
    </w:p>
    <w:p>
      <w:pPr>
        <w:spacing w:line="420" w:lineRule="exact"/>
        <w:contextualSpacing/>
        <w:rPr>
          <w:color w:val="auto"/>
        </w:rPr>
      </w:pPr>
      <w:r>
        <w:rPr>
          <w:rFonts w:hint="eastAsia"/>
          <w:color w:val="auto"/>
        </w:rPr>
        <w:t>3.7.1投标文件应按第7章“投标文件格式”进行编写，如有必要，可以增加附页，作为投标文件的组成部分。其中，投标函附录在满足招标文件实质性要求的基础上，可以提出比招标文件要求更有利于招标人的承诺。</w:t>
      </w:r>
    </w:p>
    <w:p>
      <w:pPr>
        <w:spacing w:line="420" w:lineRule="exact"/>
        <w:contextualSpacing/>
        <w:rPr>
          <w:color w:val="auto"/>
        </w:rPr>
      </w:pPr>
      <w:r>
        <w:rPr>
          <w:rFonts w:hint="eastAsia"/>
          <w:color w:val="auto"/>
        </w:rPr>
        <w:t>3.7.2 投标文件应当对招标文件有关工期、投标有效期、质量要求、技术标准和要求、招标范围等实质性内容作出响应。</w:t>
      </w:r>
    </w:p>
    <w:p>
      <w:pPr>
        <w:spacing w:line="420" w:lineRule="exact"/>
        <w:contextualSpacing/>
        <w:rPr>
          <w:color w:val="auto"/>
        </w:rPr>
      </w:pPr>
      <w:r>
        <w:rPr>
          <w:rFonts w:hint="eastAsia"/>
          <w:color w:val="auto"/>
        </w:rPr>
        <w:t>3.7.3</w:t>
      </w:r>
      <w:r>
        <w:rPr>
          <w:rFonts w:hint="eastAsia" w:ascii="宋体" w:hAnsi="宋体"/>
          <w:color w:val="auto"/>
          <w:szCs w:val="21"/>
        </w:rPr>
        <w:t>投标文件正本应根据招标文件要求加盖投标单位公章，并由其法定代表人或授权代表签字</w:t>
      </w:r>
      <w:r>
        <w:rPr>
          <w:rFonts w:hint="eastAsia"/>
          <w:color w:val="auto"/>
        </w:rPr>
        <w:t>。投标文件应尽量避免涂改、行间插字或删除。如果出现上述情况，修改之处应加盖投标人单位公章或由投标人的法定代表人或其</w:t>
      </w:r>
      <w:r>
        <w:rPr>
          <w:rFonts w:hint="eastAsia" w:ascii="宋体" w:hAnsi="宋体"/>
          <w:color w:val="auto"/>
          <w:szCs w:val="21"/>
        </w:rPr>
        <w:t>授权代表</w:t>
      </w:r>
      <w:r>
        <w:rPr>
          <w:rFonts w:hint="eastAsia"/>
          <w:color w:val="auto"/>
        </w:rPr>
        <w:t>签字确认。</w:t>
      </w:r>
    </w:p>
    <w:p>
      <w:pPr>
        <w:spacing w:line="420" w:lineRule="exact"/>
        <w:contextualSpacing/>
        <w:rPr>
          <w:color w:val="auto"/>
        </w:rPr>
      </w:pPr>
      <w:r>
        <w:rPr>
          <w:rFonts w:hint="eastAsia"/>
          <w:color w:val="auto"/>
        </w:rPr>
        <w:t>3.7.4投标人应按投标须知前附表规定的份数提交投标文件。正本和副本的封面上应清楚地标记“正本”或“副本”的字样。当副本和正本不一致或电子版文件和纸质正本文件不一致时，以纸质正本文件为准。</w:t>
      </w:r>
    </w:p>
    <w:p>
      <w:pPr>
        <w:spacing w:line="420" w:lineRule="exact"/>
        <w:contextualSpacing/>
        <w:rPr>
          <w:color w:val="auto"/>
        </w:rPr>
      </w:pPr>
      <w:r>
        <w:rPr>
          <w:rFonts w:hint="eastAsia"/>
          <w:color w:val="auto"/>
        </w:rPr>
        <w:t>3.7.5</w:t>
      </w:r>
      <w:r>
        <w:rPr>
          <w:rFonts w:hint="eastAsia" w:ascii="宋体" w:hAnsi="宋体"/>
          <w:color w:val="auto"/>
          <w:szCs w:val="21"/>
        </w:rPr>
        <w:t>投标人对招标文件中多个标段进行投标的</w:t>
      </w:r>
      <w:r>
        <w:rPr>
          <w:rFonts w:hint="eastAsia" w:ascii="宋体" w:hAnsi="宋体" w:cs="宋体"/>
          <w:color w:val="auto"/>
          <w:szCs w:val="21"/>
          <w:lang w:eastAsia="zh-TW"/>
        </w:rPr>
        <w:t>，其投标文件的编制可按每个标段分别装订和封装。</w:t>
      </w:r>
      <w:r>
        <w:rPr>
          <w:rFonts w:ascii="宋体" w:hAnsi="宋体" w:cs="Arial"/>
          <w:bCs/>
          <w:color w:val="auto"/>
          <w:szCs w:val="21"/>
        </w:rPr>
        <w:t>投标人对所有投标文件</w:t>
      </w:r>
      <w:r>
        <w:rPr>
          <w:rFonts w:ascii="宋体" w:hAnsi="宋体" w:cs="Arial"/>
          <w:color w:val="auto"/>
          <w:szCs w:val="21"/>
        </w:rPr>
        <w:t>采用左侧书本式方式</w:t>
      </w:r>
      <w:r>
        <w:rPr>
          <w:rFonts w:ascii="宋体" w:hAnsi="宋体" w:cs="Arial"/>
          <w:bCs/>
          <w:color w:val="auto"/>
          <w:szCs w:val="21"/>
        </w:rPr>
        <w:t>装订，装订应牢固、不易拆散和换页，</w:t>
      </w:r>
      <w:r>
        <w:rPr>
          <w:rFonts w:hint="eastAsia" w:ascii="宋体" w:hAnsi="宋体" w:cs="Arial"/>
          <w:bCs/>
          <w:color w:val="auto"/>
          <w:szCs w:val="21"/>
        </w:rPr>
        <w:t>原则上</w:t>
      </w:r>
      <w:r>
        <w:rPr>
          <w:rFonts w:ascii="宋体" w:hAnsi="宋体" w:cs="Arial"/>
          <w:bCs/>
          <w:color w:val="auto"/>
          <w:szCs w:val="21"/>
        </w:rPr>
        <w:t>不得采用活页方式装订。</w:t>
      </w:r>
      <w:r>
        <w:rPr>
          <w:rFonts w:hint="eastAsia" w:ascii="宋体" w:hAnsi="宋体" w:cs="宋体"/>
          <w:color w:val="auto"/>
          <w:szCs w:val="21"/>
          <w:lang w:eastAsia="zh-TW"/>
        </w:rPr>
        <w:t>对未经装订的投标文件可能发生的文件散落或缺损，由此造成的后果</w:t>
      </w:r>
      <w:r>
        <w:rPr>
          <w:rFonts w:hint="eastAsia" w:ascii="宋体" w:hAnsi="宋体" w:cs="宋体"/>
          <w:color w:val="auto"/>
          <w:szCs w:val="21"/>
        </w:rPr>
        <w:t>和</w:t>
      </w:r>
      <w:r>
        <w:rPr>
          <w:rFonts w:hint="eastAsia" w:ascii="宋体" w:hAnsi="宋体" w:cs="宋体"/>
          <w:color w:val="auto"/>
          <w:szCs w:val="21"/>
          <w:lang w:eastAsia="zh-TW"/>
        </w:rPr>
        <w:t>责任由投标人承担</w:t>
      </w:r>
      <w:r>
        <w:rPr>
          <w:rFonts w:hint="eastAsia" w:ascii="宋体" w:hAnsi="宋体" w:cs="宋体"/>
          <w:color w:val="auto"/>
          <w:szCs w:val="21"/>
        </w:rPr>
        <w:t>。</w:t>
      </w:r>
    </w:p>
    <w:p>
      <w:pPr>
        <w:pStyle w:val="4"/>
        <w:tabs>
          <w:tab w:val="left" w:pos="425"/>
        </w:tabs>
        <w:ind w:left="425" w:hanging="425"/>
        <w:rPr>
          <w:rFonts w:ascii="宋体" w:hAnsi="宋体"/>
          <w:color w:val="auto"/>
          <w:spacing w:val="1"/>
          <w:w w:val="99"/>
          <w:kern w:val="0"/>
        </w:rPr>
      </w:pPr>
      <w:bookmarkStart w:id="67" w:name="第02章投标人须知04"/>
      <w:bookmarkEnd w:id="67"/>
      <w:bookmarkStart w:id="68" w:name="_Toc518893828"/>
      <w:bookmarkStart w:id="69" w:name="_Toc434396982"/>
      <w:bookmarkStart w:id="70" w:name="_Toc518908451"/>
      <w:bookmarkStart w:id="71" w:name="_Toc433215184"/>
      <w:r>
        <w:rPr>
          <w:rFonts w:hint="eastAsia" w:ascii="宋体" w:hAnsi="宋体"/>
          <w:color w:val="auto"/>
          <w:spacing w:val="1"/>
          <w:w w:val="99"/>
          <w:kern w:val="0"/>
        </w:rPr>
        <w:t>4投标</w:t>
      </w:r>
      <w:bookmarkEnd w:id="68"/>
      <w:bookmarkEnd w:id="69"/>
      <w:bookmarkEnd w:id="70"/>
      <w:bookmarkEnd w:id="71"/>
    </w:p>
    <w:p>
      <w:pPr>
        <w:spacing w:line="420" w:lineRule="exact"/>
        <w:contextualSpacing/>
        <w:rPr>
          <w:b/>
          <w:color w:val="auto"/>
        </w:rPr>
      </w:pPr>
      <w:r>
        <w:rPr>
          <w:rFonts w:hint="eastAsia"/>
          <w:b/>
          <w:color w:val="auto"/>
        </w:rPr>
        <w:t>4.1投标文件的密封和标识</w:t>
      </w:r>
    </w:p>
    <w:p>
      <w:pPr>
        <w:spacing w:line="420" w:lineRule="exact"/>
        <w:contextualSpacing/>
        <w:rPr>
          <w:color w:val="auto"/>
        </w:rPr>
      </w:pPr>
      <w:r>
        <w:rPr>
          <w:rFonts w:hint="eastAsia"/>
          <w:color w:val="auto"/>
        </w:rPr>
        <w:t>4.1.1</w:t>
      </w:r>
      <w:r>
        <w:rPr>
          <w:rFonts w:hint="eastAsia" w:ascii="宋体" w:hAnsi="宋体"/>
          <w:color w:val="auto"/>
          <w:szCs w:val="21"/>
        </w:rPr>
        <w:t>投标文件正本与副本可以单独密封包装，也可以所有投标文件密封包装在一个密封袋内</w:t>
      </w:r>
      <w:r>
        <w:rPr>
          <w:rFonts w:hint="eastAsia"/>
          <w:color w:val="auto"/>
        </w:rPr>
        <w:t>。</w:t>
      </w:r>
    </w:p>
    <w:p>
      <w:pPr>
        <w:spacing w:line="420" w:lineRule="exact"/>
        <w:contextualSpacing/>
        <w:rPr>
          <w:color w:val="auto"/>
        </w:rPr>
      </w:pPr>
      <w:r>
        <w:rPr>
          <w:rFonts w:hint="eastAsia"/>
          <w:color w:val="auto"/>
        </w:rPr>
        <w:t>4.1.2</w:t>
      </w:r>
      <w:r>
        <w:rPr>
          <w:rFonts w:hint="eastAsia" w:ascii="宋体" w:hAnsi="宋体"/>
          <w:color w:val="auto"/>
          <w:szCs w:val="21"/>
        </w:rPr>
        <w:t>不足以造成投标文件可从外包装内散出而导致投标文件泄密的，不认定为投标文件未密封。</w:t>
      </w:r>
    </w:p>
    <w:p>
      <w:pPr>
        <w:spacing w:line="420" w:lineRule="exact"/>
        <w:contextualSpacing/>
        <w:rPr>
          <w:color w:val="auto"/>
        </w:rPr>
      </w:pPr>
      <w:r>
        <w:rPr>
          <w:rFonts w:hint="eastAsia"/>
          <w:color w:val="auto"/>
        </w:rPr>
        <w:t>4.1.3</w:t>
      </w:r>
      <w:r>
        <w:rPr>
          <w:rFonts w:hint="eastAsia" w:ascii="宋体" w:hAnsi="宋体"/>
          <w:color w:val="auto"/>
          <w:szCs w:val="21"/>
        </w:rPr>
        <w:t>外包装上</w:t>
      </w:r>
      <w:r>
        <w:rPr>
          <w:rFonts w:hint="eastAsia" w:ascii="宋体" w:hAnsi="宋体" w:cs="宋体"/>
          <w:color w:val="auto"/>
          <w:szCs w:val="21"/>
        </w:rPr>
        <w:t>清楚写明</w:t>
      </w:r>
      <w:r>
        <w:rPr>
          <w:rFonts w:hint="eastAsia" w:ascii="宋体" w:hAnsi="宋体"/>
          <w:color w:val="auto"/>
          <w:szCs w:val="21"/>
        </w:rPr>
        <w:t>投标人名称、项目名称、项目编号、</w:t>
      </w:r>
      <w:r>
        <w:rPr>
          <w:rFonts w:hint="eastAsia" w:ascii="宋体" w:hAnsi="宋体" w:cs="宋体"/>
          <w:color w:val="auto"/>
          <w:szCs w:val="21"/>
        </w:rPr>
        <w:t>标段号（如有）的</w:t>
      </w:r>
      <w:r>
        <w:rPr>
          <w:rFonts w:hint="eastAsia" w:ascii="宋体" w:hAnsi="宋体" w:cs="宋体"/>
          <w:color w:val="auto"/>
          <w:szCs w:val="21"/>
          <w:lang w:eastAsia="zh-TW"/>
        </w:rPr>
        <w:t>字样</w:t>
      </w:r>
      <w:r>
        <w:rPr>
          <w:rFonts w:hint="eastAsia"/>
          <w:color w:val="auto"/>
        </w:rPr>
        <w:t>。</w:t>
      </w:r>
    </w:p>
    <w:p>
      <w:pPr>
        <w:spacing w:line="420" w:lineRule="exact"/>
        <w:contextualSpacing/>
        <w:rPr>
          <w:color w:val="auto"/>
        </w:rPr>
      </w:pPr>
      <w:r>
        <w:rPr>
          <w:rFonts w:hint="eastAsia"/>
          <w:color w:val="auto"/>
        </w:rPr>
        <w:t>4.1.4</w:t>
      </w:r>
      <w:r>
        <w:rPr>
          <w:rFonts w:hint="eastAsia" w:ascii="宋体" w:hAnsi="宋体" w:cs="宋体"/>
          <w:color w:val="auto"/>
          <w:szCs w:val="21"/>
          <w:lang w:eastAsia="zh-TW"/>
        </w:rPr>
        <w:t>如果未按本须知</w:t>
      </w:r>
      <w:r>
        <w:rPr>
          <w:rFonts w:hint="eastAsia" w:ascii="宋体" w:hAnsi="宋体" w:cs="宋体"/>
          <w:color w:val="auto"/>
          <w:szCs w:val="21"/>
        </w:rPr>
        <w:t>上款</w:t>
      </w:r>
      <w:r>
        <w:rPr>
          <w:rFonts w:hint="eastAsia" w:ascii="宋体" w:hAnsi="宋体" w:cs="宋体"/>
          <w:color w:val="auto"/>
          <w:szCs w:val="21"/>
          <w:lang w:eastAsia="zh-TW"/>
        </w:rPr>
        <w:t>要求加写</w:t>
      </w:r>
      <w:r>
        <w:rPr>
          <w:rFonts w:hint="eastAsia" w:ascii="宋体" w:hAnsi="宋体" w:cs="宋体"/>
          <w:color w:val="auto"/>
          <w:szCs w:val="21"/>
        </w:rPr>
        <w:t>标识，</w:t>
      </w:r>
      <w:r>
        <w:rPr>
          <w:rFonts w:hint="eastAsia" w:ascii="宋体" w:hAnsi="宋体" w:cs="宋体"/>
          <w:color w:val="auto"/>
          <w:szCs w:val="21"/>
          <w:lang w:eastAsia="zh-TW"/>
        </w:rPr>
        <w:t>招标</w:t>
      </w:r>
      <w:r>
        <w:rPr>
          <w:rFonts w:hint="eastAsia" w:ascii="宋体" w:hAnsi="宋体" w:cs="宋体"/>
          <w:color w:val="auto"/>
          <w:szCs w:val="21"/>
        </w:rPr>
        <w:t>人</w:t>
      </w:r>
      <w:r>
        <w:rPr>
          <w:rFonts w:hint="eastAsia" w:ascii="宋体" w:hAnsi="宋体" w:cs="宋体"/>
          <w:color w:val="auto"/>
          <w:szCs w:val="21"/>
          <w:lang w:eastAsia="zh-TW"/>
        </w:rPr>
        <w:t>对误投或提前启封概不负责</w:t>
      </w:r>
    </w:p>
    <w:p>
      <w:pPr>
        <w:spacing w:line="420" w:lineRule="exact"/>
        <w:contextualSpacing/>
        <w:rPr>
          <w:b/>
          <w:color w:val="auto"/>
        </w:rPr>
      </w:pPr>
      <w:bookmarkStart w:id="72" w:name="_Toc144974525"/>
      <w:bookmarkStart w:id="73" w:name="_Toc179632575"/>
      <w:bookmarkStart w:id="74" w:name="_Toc152045557"/>
      <w:bookmarkStart w:id="75" w:name="_Toc152042333"/>
      <w:r>
        <w:rPr>
          <w:rFonts w:hint="eastAsia"/>
          <w:b/>
          <w:color w:val="auto"/>
        </w:rPr>
        <w:t>4.2 投标文件的递交</w:t>
      </w:r>
      <w:bookmarkEnd w:id="72"/>
      <w:bookmarkEnd w:id="73"/>
      <w:bookmarkEnd w:id="74"/>
      <w:bookmarkEnd w:id="75"/>
    </w:p>
    <w:p>
      <w:pPr>
        <w:spacing w:line="420" w:lineRule="exact"/>
        <w:contextualSpacing/>
        <w:rPr>
          <w:color w:val="auto"/>
        </w:rPr>
      </w:pPr>
      <w:r>
        <w:rPr>
          <w:rFonts w:hint="eastAsia"/>
          <w:color w:val="auto"/>
        </w:rPr>
        <w:t>4.2.1 投标人应在规定的投标截止时间前递交投标文件。</w:t>
      </w:r>
    </w:p>
    <w:p>
      <w:pPr>
        <w:spacing w:line="420" w:lineRule="exact"/>
        <w:contextualSpacing/>
        <w:rPr>
          <w:color w:val="auto"/>
        </w:rPr>
      </w:pPr>
      <w:r>
        <w:rPr>
          <w:rFonts w:hint="eastAsia"/>
          <w:color w:val="auto"/>
        </w:rPr>
        <w:t>4.2.2 投标人递交投标文件的地点：见第1章投标邀请书。</w:t>
      </w:r>
    </w:p>
    <w:p>
      <w:pPr>
        <w:spacing w:line="420" w:lineRule="exact"/>
        <w:contextualSpacing/>
        <w:rPr>
          <w:color w:val="auto"/>
        </w:rPr>
      </w:pPr>
      <w:r>
        <w:rPr>
          <w:rFonts w:hint="eastAsia"/>
          <w:color w:val="auto"/>
        </w:rPr>
        <w:t>4.2.3</w:t>
      </w:r>
      <w:r>
        <w:rPr>
          <w:rFonts w:hint="eastAsia"/>
          <w:color w:val="auto"/>
          <w:szCs w:val="21"/>
        </w:rPr>
        <w:t>逾期送达的、未送达指定地点的或不按照招标文件要求密封的投标文件，招标人或招标代理将予以拒收。</w:t>
      </w:r>
    </w:p>
    <w:p>
      <w:pPr>
        <w:spacing w:line="420" w:lineRule="exact"/>
        <w:contextualSpacing/>
        <w:rPr>
          <w:b/>
          <w:color w:val="auto"/>
        </w:rPr>
      </w:pPr>
      <w:bookmarkStart w:id="76" w:name="_Toc179632576"/>
      <w:bookmarkStart w:id="77" w:name="_Toc152045558"/>
      <w:bookmarkStart w:id="78" w:name="_Toc152042334"/>
      <w:bookmarkStart w:id="79" w:name="_Toc144974526"/>
      <w:r>
        <w:rPr>
          <w:rFonts w:hint="eastAsia"/>
          <w:b/>
          <w:color w:val="auto"/>
        </w:rPr>
        <w:t xml:space="preserve">4.3 </w:t>
      </w:r>
      <w:bookmarkEnd w:id="76"/>
      <w:bookmarkEnd w:id="77"/>
      <w:bookmarkEnd w:id="78"/>
      <w:bookmarkEnd w:id="79"/>
      <w:r>
        <w:rPr>
          <w:rFonts w:hint="eastAsia" w:ascii="宋体" w:hAnsi="宋体"/>
          <w:b/>
          <w:bCs/>
          <w:color w:val="auto"/>
          <w:szCs w:val="21"/>
        </w:rPr>
        <w:t>投标文件的修改与撤回、撤销</w:t>
      </w:r>
    </w:p>
    <w:p>
      <w:pPr>
        <w:spacing w:line="420" w:lineRule="exact"/>
        <w:contextualSpacing/>
        <w:rPr>
          <w:color w:val="auto"/>
        </w:rPr>
      </w:pPr>
      <w:r>
        <w:rPr>
          <w:rFonts w:hint="eastAsia"/>
          <w:color w:val="auto"/>
        </w:rPr>
        <w:t>4.3.1 在规定的投标截止时间前，投标人可以修改或撤回已递交的投标文件，但应以书面形式通知招标人。</w:t>
      </w:r>
    </w:p>
    <w:p>
      <w:pPr>
        <w:spacing w:line="420" w:lineRule="exact"/>
        <w:contextualSpacing/>
        <w:rPr>
          <w:color w:val="auto"/>
        </w:rPr>
      </w:pPr>
      <w:r>
        <w:rPr>
          <w:rFonts w:hint="eastAsia"/>
          <w:color w:val="auto"/>
        </w:rPr>
        <w:t>4.3.2 投标人修改或撤回已递交投标文件的书面通知应按照本章第3.7.3项的要求签字或盖章。招标人收到书面通知后，向投标人出具签收凭证。</w:t>
      </w:r>
    </w:p>
    <w:p>
      <w:pPr>
        <w:spacing w:line="420" w:lineRule="exact"/>
        <w:contextualSpacing/>
        <w:rPr>
          <w:color w:val="auto"/>
        </w:rPr>
      </w:pPr>
      <w:r>
        <w:rPr>
          <w:rFonts w:hint="eastAsia"/>
          <w:color w:val="auto"/>
        </w:rPr>
        <w:t>4.3.3 修改的内容为投标文件的组成部分。修改的投标文件应按照本章第3条、第4条规定进行编制、密封、标记和递交，并标明“修改”字样。</w:t>
      </w:r>
    </w:p>
    <w:p>
      <w:pPr>
        <w:spacing w:line="420" w:lineRule="exact"/>
        <w:contextualSpacing/>
        <w:rPr>
          <w:color w:val="auto"/>
        </w:rPr>
      </w:pPr>
      <w:r>
        <w:rPr>
          <w:rFonts w:hint="eastAsia"/>
          <w:color w:val="auto"/>
        </w:rPr>
        <w:t xml:space="preserve">4.3.4 </w:t>
      </w:r>
      <w:r>
        <w:rPr>
          <w:rFonts w:hint="eastAsia" w:ascii="宋体" w:hAnsi="宋体" w:cs="宋体"/>
          <w:color w:val="auto"/>
          <w:szCs w:val="21"/>
        </w:rPr>
        <w:t>投标人</w:t>
      </w:r>
      <w:r>
        <w:rPr>
          <w:rFonts w:hint="eastAsia" w:ascii="宋体" w:hAnsi="宋体" w:cs="宋体"/>
          <w:color w:val="auto"/>
          <w:szCs w:val="21"/>
          <w:lang w:eastAsia="zh-TW"/>
        </w:rPr>
        <w:t>在</w:t>
      </w:r>
      <w:r>
        <w:rPr>
          <w:rFonts w:hint="eastAsia" w:ascii="宋体" w:hAnsi="宋体" w:cs="宋体"/>
          <w:color w:val="auto"/>
          <w:szCs w:val="21"/>
        </w:rPr>
        <w:t>投标</w:t>
      </w:r>
      <w:r>
        <w:rPr>
          <w:rFonts w:hint="eastAsia" w:ascii="宋体" w:hAnsi="宋体" w:cs="宋体"/>
          <w:color w:val="auto"/>
          <w:szCs w:val="21"/>
          <w:lang w:eastAsia="zh-TW"/>
        </w:rPr>
        <w:t>截止</w:t>
      </w:r>
      <w:r>
        <w:rPr>
          <w:rFonts w:hint="eastAsia" w:ascii="宋体" w:hAnsi="宋体" w:cs="宋体"/>
          <w:color w:val="auto"/>
          <w:szCs w:val="21"/>
        </w:rPr>
        <w:t>时间</w:t>
      </w:r>
      <w:r>
        <w:rPr>
          <w:rFonts w:hint="eastAsia" w:ascii="宋体" w:hAnsi="宋体" w:cs="宋体"/>
          <w:color w:val="auto"/>
          <w:szCs w:val="21"/>
          <w:lang w:eastAsia="zh-TW"/>
        </w:rPr>
        <w:t>后不可撤销其</w:t>
      </w:r>
      <w:r>
        <w:rPr>
          <w:rFonts w:hint="eastAsia" w:ascii="宋体" w:hAnsi="宋体" w:cs="宋体"/>
          <w:color w:val="auto"/>
          <w:szCs w:val="21"/>
        </w:rPr>
        <w:t>投标及其投标文件。</w:t>
      </w:r>
    </w:p>
    <w:p>
      <w:pPr>
        <w:pStyle w:val="4"/>
        <w:tabs>
          <w:tab w:val="left" w:pos="425"/>
        </w:tabs>
        <w:ind w:left="425" w:hanging="425"/>
        <w:rPr>
          <w:rFonts w:ascii="宋体" w:hAnsi="宋体"/>
          <w:color w:val="auto"/>
          <w:spacing w:val="1"/>
          <w:w w:val="99"/>
          <w:kern w:val="0"/>
        </w:rPr>
      </w:pPr>
      <w:bookmarkStart w:id="80" w:name="第02章投标人须知05"/>
      <w:bookmarkEnd w:id="80"/>
      <w:bookmarkStart w:id="81" w:name="_Toc518893829"/>
      <w:bookmarkStart w:id="82" w:name="_Toc434396983"/>
      <w:bookmarkStart w:id="83" w:name="_Toc433215185"/>
      <w:bookmarkStart w:id="84" w:name="_Toc518908452"/>
      <w:r>
        <w:rPr>
          <w:rFonts w:hint="eastAsia" w:ascii="宋体" w:hAnsi="宋体"/>
          <w:color w:val="auto"/>
          <w:spacing w:val="1"/>
          <w:w w:val="99"/>
          <w:kern w:val="0"/>
        </w:rPr>
        <w:t>5　开标</w:t>
      </w:r>
      <w:bookmarkEnd w:id="81"/>
      <w:bookmarkEnd w:id="82"/>
      <w:bookmarkEnd w:id="83"/>
      <w:bookmarkEnd w:id="84"/>
    </w:p>
    <w:p>
      <w:pPr>
        <w:spacing w:line="420" w:lineRule="exact"/>
        <w:contextualSpacing/>
        <w:rPr>
          <w:b/>
          <w:color w:val="auto"/>
        </w:rPr>
      </w:pPr>
      <w:r>
        <w:rPr>
          <w:rFonts w:hint="eastAsia"/>
          <w:b/>
          <w:color w:val="auto"/>
        </w:rPr>
        <w:t xml:space="preserve">5.1 </w:t>
      </w:r>
      <w:r>
        <w:rPr>
          <w:rFonts w:hint="eastAsia" w:ascii="宋体" w:hAnsi="宋体" w:cs="宋体"/>
          <w:color w:val="auto"/>
          <w:szCs w:val="21"/>
        </w:rPr>
        <w:t>投标人少于3个的，不得开标。</w:t>
      </w:r>
    </w:p>
    <w:p>
      <w:pPr>
        <w:spacing w:line="420" w:lineRule="exact"/>
        <w:contextualSpacing/>
        <w:rPr>
          <w:b/>
          <w:color w:val="auto"/>
        </w:rPr>
      </w:pPr>
      <w:r>
        <w:rPr>
          <w:rFonts w:hint="eastAsia"/>
          <w:b/>
          <w:color w:val="auto"/>
        </w:rPr>
        <w:t>5.2开标时间和地点</w:t>
      </w:r>
    </w:p>
    <w:p>
      <w:pPr>
        <w:spacing w:line="420" w:lineRule="exact"/>
        <w:contextualSpacing/>
        <w:rPr>
          <w:color w:val="auto"/>
        </w:rPr>
      </w:pPr>
      <w:r>
        <w:rPr>
          <w:rFonts w:hint="eastAsia"/>
          <w:color w:val="auto"/>
        </w:rPr>
        <w:t>招标人在规定的投标截止时间(开标时间)和地点公开开标，并邀请所有投标人准时参加。</w:t>
      </w:r>
    </w:p>
    <w:p>
      <w:pPr>
        <w:spacing w:line="420" w:lineRule="exact"/>
        <w:contextualSpacing/>
        <w:rPr>
          <w:b/>
          <w:color w:val="auto"/>
        </w:rPr>
      </w:pPr>
      <w:r>
        <w:rPr>
          <w:rFonts w:hint="eastAsia"/>
          <w:b/>
          <w:color w:val="auto"/>
        </w:rPr>
        <w:t>5.3开标程序</w:t>
      </w:r>
    </w:p>
    <w:p>
      <w:pPr>
        <w:spacing w:line="420" w:lineRule="exact"/>
        <w:contextualSpacing/>
        <w:rPr>
          <w:color w:val="auto"/>
        </w:rPr>
      </w:pPr>
      <w:r>
        <w:rPr>
          <w:rFonts w:hint="eastAsia"/>
          <w:color w:val="auto"/>
        </w:rPr>
        <w:t>主持人按下列程序进行开标：</w:t>
      </w:r>
    </w:p>
    <w:p>
      <w:pPr>
        <w:spacing w:line="420" w:lineRule="exact"/>
        <w:contextualSpacing/>
        <w:rPr>
          <w:color w:val="auto"/>
        </w:rPr>
      </w:pPr>
      <w:r>
        <w:rPr>
          <w:rFonts w:hint="eastAsia"/>
          <w:color w:val="auto"/>
        </w:rPr>
        <w:t>(1)宣布开标纪律；</w:t>
      </w:r>
    </w:p>
    <w:p>
      <w:pPr>
        <w:spacing w:line="420" w:lineRule="exact"/>
        <w:contextualSpacing/>
        <w:rPr>
          <w:color w:val="auto"/>
        </w:rPr>
      </w:pPr>
      <w:r>
        <w:rPr>
          <w:rFonts w:hint="eastAsia"/>
          <w:color w:val="auto"/>
        </w:rPr>
        <w:t>(2)公布在投标截止时间前递交投标文件的投标人名称；</w:t>
      </w:r>
    </w:p>
    <w:p>
      <w:pPr>
        <w:spacing w:line="420" w:lineRule="exact"/>
        <w:contextualSpacing/>
        <w:rPr>
          <w:color w:val="auto"/>
        </w:rPr>
      </w:pPr>
      <w:r>
        <w:rPr>
          <w:rFonts w:hint="eastAsia"/>
          <w:color w:val="auto"/>
        </w:rPr>
        <w:t>(3)除投标人须知前附表另有约定外，由投标人推荐的代表检查投标文件的密封情况；</w:t>
      </w:r>
    </w:p>
    <w:p>
      <w:pPr>
        <w:spacing w:line="420" w:lineRule="exact"/>
        <w:contextualSpacing/>
        <w:rPr>
          <w:color w:val="auto"/>
        </w:rPr>
      </w:pPr>
      <w:r>
        <w:rPr>
          <w:rFonts w:hint="eastAsia"/>
          <w:color w:val="auto"/>
        </w:rPr>
        <w:t>(4)宣布投标文件开启顺序：按递交投标文件的先后顺序；</w:t>
      </w:r>
    </w:p>
    <w:p>
      <w:pPr>
        <w:spacing w:line="420" w:lineRule="exact"/>
        <w:contextualSpacing/>
        <w:rPr>
          <w:color w:val="auto"/>
        </w:rPr>
      </w:pPr>
      <w:r>
        <w:rPr>
          <w:rFonts w:hint="eastAsia"/>
          <w:color w:val="auto"/>
        </w:rPr>
        <w:t>(5)按照宣布的开标顺序当众开标，公布投标人名称、投标报价、工期及其它招标文件规定开标时公布的内容，并进行文字记录；</w:t>
      </w:r>
    </w:p>
    <w:p>
      <w:pPr>
        <w:spacing w:line="420" w:lineRule="exact"/>
        <w:contextualSpacing/>
        <w:rPr>
          <w:color w:val="auto"/>
        </w:rPr>
      </w:pPr>
      <w:r>
        <w:rPr>
          <w:rFonts w:hint="eastAsia"/>
          <w:color w:val="auto"/>
        </w:rPr>
        <w:t>(7)唱标人、记录人、监标人（如有）、投标人代表等有关人员在开标记录上签字确认；</w:t>
      </w:r>
    </w:p>
    <w:p>
      <w:pPr>
        <w:spacing w:line="420" w:lineRule="exact"/>
        <w:contextualSpacing/>
        <w:rPr>
          <w:color w:val="auto"/>
        </w:rPr>
      </w:pPr>
      <w:r>
        <w:rPr>
          <w:rFonts w:hint="eastAsia"/>
          <w:color w:val="auto"/>
        </w:rPr>
        <w:t>(8)开标结束。</w:t>
      </w:r>
    </w:p>
    <w:p>
      <w:pPr>
        <w:pStyle w:val="4"/>
        <w:tabs>
          <w:tab w:val="left" w:pos="425"/>
        </w:tabs>
        <w:ind w:left="425" w:hanging="425"/>
        <w:rPr>
          <w:rFonts w:ascii="宋体" w:hAnsi="宋体"/>
          <w:color w:val="auto"/>
          <w:spacing w:val="1"/>
          <w:w w:val="99"/>
          <w:kern w:val="0"/>
        </w:rPr>
      </w:pPr>
      <w:bookmarkStart w:id="85" w:name="_Toc518893830"/>
      <w:bookmarkStart w:id="86" w:name="_Toc433215186"/>
      <w:bookmarkStart w:id="87" w:name="_Toc434396984"/>
      <w:bookmarkStart w:id="88" w:name="_Toc518908453"/>
      <w:r>
        <w:rPr>
          <w:rFonts w:hint="eastAsia" w:ascii="宋体" w:hAnsi="宋体"/>
          <w:color w:val="auto"/>
          <w:spacing w:val="1"/>
          <w:w w:val="99"/>
          <w:kern w:val="0"/>
        </w:rPr>
        <w:t>6评标</w:t>
      </w:r>
      <w:bookmarkEnd w:id="85"/>
      <w:bookmarkEnd w:id="86"/>
      <w:bookmarkEnd w:id="87"/>
      <w:bookmarkEnd w:id="88"/>
    </w:p>
    <w:p>
      <w:pPr>
        <w:spacing w:line="420" w:lineRule="exact"/>
        <w:contextualSpacing/>
        <w:rPr>
          <w:b/>
          <w:color w:val="auto"/>
        </w:rPr>
      </w:pPr>
      <w:bookmarkStart w:id="89" w:name="_Toc152042339"/>
      <w:bookmarkStart w:id="90" w:name="_Toc152045563"/>
      <w:bookmarkStart w:id="91" w:name="_Toc179632581"/>
      <w:bookmarkStart w:id="92" w:name="_Toc144974531"/>
      <w:r>
        <w:rPr>
          <w:rFonts w:hint="eastAsia"/>
          <w:b/>
          <w:color w:val="auto"/>
        </w:rPr>
        <w:t>6.1评标委员会</w:t>
      </w:r>
      <w:bookmarkEnd w:id="89"/>
      <w:bookmarkEnd w:id="90"/>
      <w:bookmarkEnd w:id="91"/>
      <w:bookmarkEnd w:id="92"/>
    </w:p>
    <w:p>
      <w:pPr>
        <w:spacing w:line="420" w:lineRule="exact"/>
        <w:contextualSpacing/>
        <w:rPr>
          <w:color w:val="auto"/>
        </w:rPr>
      </w:pPr>
      <w:r>
        <w:rPr>
          <w:rFonts w:hint="eastAsia"/>
          <w:color w:val="auto"/>
        </w:rPr>
        <w:t>6.1.1评标委员会成员人数按照投标人须知前附表中确定。</w:t>
      </w:r>
    </w:p>
    <w:p>
      <w:pPr>
        <w:spacing w:line="420" w:lineRule="exact"/>
        <w:contextualSpacing/>
        <w:rPr>
          <w:color w:val="auto"/>
        </w:rPr>
      </w:pPr>
      <w:r>
        <w:rPr>
          <w:rFonts w:hint="eastAsia"/>
          <w:color w:val="auto"/>
        </w:rPr>
        <w:t>6.1.2 评标委员会成员有下列情形之一的，应当回避：</w:t>
      </w:r>
    </w:p>
    <w:p>
      <w:pPr>
        <w:spacing w:line="420" w:lineRule="exact"/>
        <w:contextualSpacing/>
        <w:rPr>
          <w:color w:val="auto"/>
        </w:rPr>
      </w:pPr>
      <w:r>
        <w:rPr>
          <w:rFonts w:hint="eastAsia"/>
          <w:color w:val="auto"/>
        </w:rPr>
        <w:t>（1）招标人或投标人的主要负责人的近亲属；</w:t>
      </w:r>
    </w:p>
    <w:p>
      <w:pPr>
        <w:spacing w:line="420" w:lineRule="exact"/>
        <w:contextualSpacing/>
        <w:rPr>
          <w:color w:val="auto"/>
        </w:rPr>
      </w:pPr>
      <w:r>
        <w:rPr>
          <w:rFonts w:hint="eastAsia"/>
          <w:color w:val="auto"/>
        </w:rPr>
        <w:t>（2）项目主管部门或者行政监督部门的人员；</w:t>
      </w:r>
    </w:p>
    <w:p>
      <w:pPr>
        <w:spacing w:line="420" w:lineRule="exact"/>
        <w:contextualSpacing/>
        <w:rPr>
          <w:color w:val="auto"/>
        </w:rPr>
      </w:pPr>
      <w:r>
        <w:rPr>
          <w:rFonts w:hint="eastAsia"/>
          <w:color w:val="auto"/>
        </w:rPr>
        <w:t>（3）与投标人有经济利益关系，可能影响对投标公正评审的；</w:t>
      </w:r>
    </w:p>
    <w:p>
      <w:pPr>
        <w:spacing w:line="420" w:lineRule="exact"/>
        <w:contextualSpacing/>
        <w:rPr>
          <w:color w:val="auto"/>
        </w:rPr>
      </w:pPr>
      <w:r>
        <w:rPr>
          <w:rFonts w:hint="eastAsia"/>
          <w:color w:val="auto"/>
        </w:rPr>
        <w:t>（4）曾因在招标、评标以及其他与招标投标有关活动中从事违法行为而受过行政处罚或刑事处罚的。</w:t>
      </w:r>
    </w:p>
    <w:p>
      <w:pPr>
        <w:spacing w:line="420" w:lineRule="exact"/>
        <w:contextualSpacing/>
        <w:rPr>
          <w:b/>
          <w:color w:val="auto"/>
        </w:rPr>
      </w:pPr>
      <w:bookmarkStart w:id="93" w:name="_Toc144974532"/>
      <w:bookmarkStart w:id="94" w:name="_Toc152042340"/>
      <w:bookmarkStart w:id="95" w:name="_Toc179632582"/>
      <w:bookmarkStart w:id="96" w:name="_Toc152045564"/>
      <w:r>
        <w:rPr>
          <w:rFonts w:hint="eastAsia"/>
          <w:b/>
          <w:color w:val="auto"/>
        </w:rPr>
        <w:t>6.2 评标原则</w:t>
      </w:r>
      <w:bookmarkEnd w:id="93"/>
      <w:bookmarkEnd w:id="94"/>
      <w:bookmarkEnd w:id="95"/>
      <w:bookmarkEnd w:id="96"/>
      <w:r>
        <w:rPr>
          <w:b/>
          <w:color w:val="auto"/>
        </w:rPr>
        <w:tab/>
      </w:r>
    </w:p>
    <w:p>
      <w:pPr>
        <w:spacing w:line="420" w:lineRule="exact"/>
        <w:contextualSpacing/>
        <w:rPr>
          <w:color w:val="auto"/>
        </w:rPr>
      </w:pPr>
      <w:r>
        <w:rPr>
          <w:rFonts w:hint="eastAsia"/>
          <w:color w:val="auto"/>
        </w:rPr>
        <w:t>评标活动遵循公平、公正、科学和择优的原则。</w:t>
      </w:r>
    </w:p>
    <w:p>
      <w:pPr>
        <w:spacing w:line="420" w:lineRule="exact"/>
        <w:contextualSpacing/>
        <w:rPr>
          <w:b/>
          <w:color w:val="auto"/>
        </w:rPr>
      </w:pPr>
      <w:bookmarkStart w:id="97" w:name="_Toc152045565"/>
      <w:bookmarkStart w:id="98" w:name="_Toc144974533"/>
      <w:bookmarkStart w:id="99" w:name="_Toc179632583"/>
      <w:bookmarkStart w:id="100" w:name="_Toc152042341"/>
      <w:r>
        <w:rPr>
          <w:rFonts w:hint="eastAsia"/>
          <w:b/>
          <w:color w:val="auto"/>
        </w:rPr>
        <w:t>6.3 评标</w:t>
      </w:r>
      <w:bookmarkEnd w:id="97"/>
      <w:bookmarkEnd w:id="98"/>
      <w:bookmarkEnd w:id="99"/>
      <w:bookmarkEnd w:id="100"/>
    </w:p>
    <w:p>
      <w:pPr>
        <w:spacing w:line="420" w:lineRule="exact"/>
        <w:contextualSpacing/>
        <w:rPr>
          <w:color w:val="auto"/>
        </w:rPr>
      </w:pPr>
      <w:r>
        <w:rPr>
          <w:rFonts w:hint="eastAsia"/>
          <w:color w:val="auto"/>
        </w:rPr>
        <w:t>评标委员会按照第三章“评标办法”规定的方法、评审因素、标准和程序对投标文件进行评审。第三章“评标办法”没有规定的方法、评审因素和标准，不作为评标依据。</w:t>
      </w:r>
      <w:r>
        <w:rPr>
          <w:rFonts w:hint="eastAsia" w:ascii="宋体" w:hAnsi="宋体" w:cs="宋体"/>
          <w:color w:val="auto"/>
          <w:szCs w:val="21"/>
        </w:rPr>
        <w:t>通过资格、符合性审查的有效投标人不足三家时，不再继续技术商务评审，本项目招标失败（经招标人确认后选择采购方式变更情形的除外）。</w:t>
      </w:r>
    </w:p>
    <w:p>
      <w:pPr>
        <w:spacing w:line="420" w:lineRule="exact"/>
        <w:contextualSpacing/>
        <w:rPr>
          <w:b/>
          <w:color w:val="auto"/>
        </w:rPr>
      </w:pPr>
      <w:r>
        <w:rPr>
          <w:rFonts w:hint="eastAsia"/>
          <w:b/>
          <w:color w:val="auto"/>
        </w:rPr>
        <w:t>6.4评标结果公示与中标通知书</w:t>
      </w:r>
    </w:p>
    <w:p>
      <w:pPr>
        <w:spacing w:line="420" w:lineRule="exact"/>
        <w:contextualSpacing/>
        <w:rPr>
          <w:b/>
          <w:color w:val="auto"/>
        </w:rPr>
      </w:pPr>
      <w:r>
        <w:rPr>
          <w:rFonts w:hint="eastAsia" w:ascii="宋体" w:hAnsi="宋体"/>
          <w:color w:val="auto"/>
          <w:szCs w:val="21"/>
        </w:rPr>
        <w:t>6.4.1评标结果经招标人确定后，招标人将在发布本项目投标邀请书媒体上进行评标结果公示，公示期为3日。</w:t>
      </w:r>
    </w:p>
    <w:p>
      <w:pPr>
        <w:spacing w:line="420" w:lineRule="exact"/>
        <w:contextualSpacing/>
        <w:rPr>
          <w:b/>
          <w:color w:val="auto"/>
        </w:rPr>
      </w:pPr>
      <w:r>
        <w:rPr>
          <w:rFonts w:hint="eastAsia" w:ascii="宋体" w:hAnsi="宋体"/>
          <w:color w:val="auto"/>
          <w:szCs w:val="21"/>
        </w:rPr>
        <w:t>6.4.2评标结果公示无异议的，招标人向其</w:t>
      </w:r>
      <w:r>
        <w:rPr>
          <w:rFonts w:ascii="宋体" w:hAnsi="宋体"/>
          <w:color w:val="auto"/>
          <w:szCs w:val="21"/>
        </w:rPr>
        <w:t>发出中标通知书，</w:t>
      </w:r>
      <w:r>
        <w:rPr>
          <w:rFonts w:hint="eastAsia" w:ascii="宋体" w:hAnsi="宋体"/>
          <w:color w:val="auto"/>
          <w:szCs w:val="21"/>
        </w:rPr>
        <w:t>同时将中标结果通知所有未中标的投标人。</w:t>
      </w:r>
    </w:p>
    <w:p>
      <w:pPr>
        <w:spacing w:line="420" w:lineRule="exact"/>
        <w:contextualSpacing/>
        <w:rPr>
          <w:color w:val="auto"/>
        </w:rPr>
      </w:pPr>
    </w:p>
    <w:p>
      <w:pPr>
        <w:pStyle w:val="4"/>
        <w:tabs>
          <w:tab w:val="left" w:pos="425"/>
        </w:tabs>
        <w:ind w:left="425" w:hanging="425"/>
        <w:rPr>
          <w:rFonts w:ascii="宋体" w:hAnsi="宋体"/>
          <w:color w:val="auto"/>
          <w:spacing w:val="1"/>
          <w:w w:val="99"/>
          <w:kern w:val="0"/>
        </w:rPr>
      </w:pPr>
      <w:bookmarkStart w:id="101" w:name="第02章投标人须知07"/>
      <w:bookmarkEnd w:id="101"/>
      <w:bookmarkStart w:id="102" w:name="_Toc518908454"/>
      <w:bookmarkStart w:id="103" w:name="_Toc434396985"/>
      <w:bookmarkStart w:id="104" w:name="_Toc518893831"/>
      <w:bookmarkStart w:id="105" w:name="_Toc433215187"/>
      <w:r>
        <w:rPr>
          <w:rFonts w:hint="eastAsia" w:ascii="宋体" w:hAnsi="宋体"/>
          <w:color w:val="auto"/>
          <w:spacing w:val="1"/>
          <w:w w:val="99"/>
          <w:kern w:val="0"/>
        </w:rPr>
        <w:t>7合同授予</w:t>
      </w:r>
      <w:bookmarkEnd w:id="102"/>
      <w:bookmarkEnd w:id="103"/>
      <w:bookmarkEnd w:id="104"/>
      <w:bookmarkEnd w:id="105"/>
    </w:p>
    <w:p>
      <w:pPr>
        <w:spacing w:line="420" w:lineRule="exact"/>
        <w:contextualSpacing/>
        <w:rPr>
          <w:b/>
          <w:color w:val="auto"/>
        </w:rPr>
      </w:pPr>
      <w:r>
        <w:rPr>
          <w:rFonts w:hint="eastAsia"/>
          <w:b/>
          <w:color w:val="auto"/>
        </w:rPr>
        <w:t>7.1定标方式</w:t>
      </w:r>
    </w:p>
    <w:p>
      <w:pPr>
        <w:spacing w:line="420" w:lineRule="exact"/>
        <w:contextualSpacing/>
        <w:rPr>
          <w:rFonts w:ascii="宋体" w:hAnsi="宋体"/>
          <w:color w:val="auto"/>
          <w:szCs w:val="21"/>
        </w:rPr>
      </w:pPr>
      <w:bookmarkStart w:id="106" w:name="_Toc152042344"/>
      <w:bookmarkStart w:id="107" w:name="_Toc144974536"/>
      <w:bookmarkStart w:id="108" w:name="_Toc152045568"/>
      <w:bookmarkStart w:id="109" w:name="_Toc179632586"/>
      <w:r>
        <w:rPr>
          <w:rFonts w:hint="eastAsia" w:ascii="宋体" w:hAnsi="宋体"/>
          <w:color w:val="auto"/>
          <w:szCs w:val="21"/>
        </w:rPr>
        <w:t>（1）评标委员根据评标办法对参加评审的投标文件进行评审，根据各投标人的综合得分排名</w:t>
      </w:r>
      <w:r>
        <w:rPr>
          <w:rFonts w:ascii="宋体" w:hAnsi="宋体"/>
          <w:color w:val="auto"/>
          <w:szCs w:val="21"/>
        </w:rPr>
        <w:t>，评标委员会按综合得分由高至低依次推荐</w:t>
      </w:r>
      <w:r>
        <w:rPr>
          <w:rFonts w:hint="eastAsia" w:ascii="宋体" w:hAnsi="宋体"/>
          <w:color w:val="auto"/>
          <w:szCs w:val="21"/>
        </w:rPr>
        <w:t>两个</w:t>
      </w:r>
      <w:r>
        <w:rPr>
          <w:rFonts w:ascii="宋体" w:hAnsi="宋体"/>
          <w:color w:val="auto"/>
          <w:szCs w:val="21"/>
        </w:rPr>
        <w:t>中标候选人</w:t>
      </w:r>
      <w:r>
        <w:rPr>
          <w:rFonts w:hint="eastAsia" w:ascii="宋体" w:hAnsi="宋体"/>
          <w:color w:val="auto"/>
          <w:szCs w:val="21"/>
        </w:rPr>
        <w:t>（特殊情形除外）</w:t>
      </w:r>
      <w:r>
        <w:rPr>
          <w:rFonts w:ascii="宋体" w:hAnsi="宋体"/>
          <w:color w:val="auto"/>
          <w:szCs w:val="21"/>
        </w:rPr>
        <w:t>，并标明推荐顺序。</w:t>
      </w:r>
    </w:p>
    <w:p>
      <w:pPr>
        <w:adjustRightInd w:val="0"/>
        <w:spacing w:line="420" w:lineRule="exact"/>
        <w:ind w:firstLine="420" w:firstLineChars="200"/>
        <w:contextualSpacing/>
        <w:rPr>
          <w:rFonts w:ascii="宋体" w:hAnsi="宋体"/>
          <w:color w:val="auto"/>
          <w:szCs w:val="21"/>
        </w:rPr>
      </w:pPr>
      <w:r>
        <w:rPr>
          <w:rFonts w:ascii="宋体" w:hAnsi="宋体"/>
          <w:color w:val="auto"/>
          <w:szCs w:val="21"/>
        </w:rPr>
        <w:t>若总得分相同，</w:t>
      </w:r>
      <w:r>
        <w:rPr>
          <w:rFonts w:hint="eastAsia" w:ascii="宋体" w:hAnsi="宋体"/>
          <w:color w:val="auto"/>
          <w:szCs w:val="21"/>
        </w:rPr>
        <w:t>报价评审</w:t>
      </w:r>
      <w:r>
        <w:rPr>
          <w:rFonts w:ascii="宋体" w:hAnsi="宋体"/>
          <w:color w:val="auto"/>
          <w:szCs w:val="21"/>
        </w:rPr>
        <w:t>得分高的投标人排序为先；</w:t>
      </w:r>
    </w:p>
    <w:p>
      <w:pPr>
        <w:adjustRightInd w:val="0"/>
        <w:spacing w:line="420" w:lineRule="exact"/>
        <w:ind w:firstLine="420" w:firstLineChars="200"/>
        <w:contextualSpacing/>
        <w:rPr>
          <w:rFonts w:ascii="宋体" w:hAnsi="宋体"/>
          <w:color w:val="auto"/>
          <w:szCs w:val="21"/>
        </w:rPr>
      </w:pPr>
      <w:r>
        <w:rPr>
          <w:rFonts w:ascii="宋体" w:hAnsi="宋体"/>
          <w:color w:val="auto"/>
          <w:szCs w:val="21"/>
        </w:rPr>
        <w:t>若</w:t>
      </w:r>
      <w:r>
        <w:rPr>
          <w:rFonts w:hint="eastAsia" w:ascii="宋体" w:hAnsi="宋体"/>
          <w:color w:val="auto"/>
          <w:szCs w:val="21"/>
        </w:rPr>
        <w:t>报价评审</w:t>
      </w:r>
      <w:r>
        <w:rPr>
          <w:rFonts w:ascii="宋体" w:hAnsi="宋体"/>
          <w:color w:val="auto"/>
          <w:szCs w:val="21"/>
        </w:rPr>
        <w:t>得分也相同，则由评委根据</w:t>
      </w:r>
      <w:r>
        <w:rPr>
          <w:rFonts w:hint="eastAsia" w:ascii="宋体" w:hAnsi="宋体"/>
          <w:color w:val="auto"/>
          <w:szCs w:val="21"/>
        </w:rPr>
        <w:t>投标人商务部分得分高的优先；</w:t>
      </w:r>
    </w:p>
    <w:p>
      <w:pPr>
        <w:adjustRightInd w:val="0"/>
        <w:spacing w:line="420" w:lineRule="exact"/>
        <w:ind w:firstLine="420" w:firstLineChars="200"/>
        <w:contextualSpacing/>
        <w:rPr>
          <w:rFonts w:ascii="宋体" w:hAnsi="宋体"/>
          <w:color w:val="auto"/>
          <w:szCs w:val="21"/>
        </w:rPr>
      </w:pPr>
      <w:r>
        <w:rPr>
          <w:rFonts w:ascii="宋体" w:hAnsi="宋体"/>
          <w:color w:val="auto"/>
          <w:szCs w:val="21"/>
        </w:rPr>
        <w:t>若</w:t>
      </w:r>
      <w:r>
        <w:rPr>
          <w:rFonts w:hint="eastAsia" w:ascii="宋体" w:hAnsi="宋体"/>
          <w:color w:val="auto"/>
          <w:szCs w:val="21"/>
        </w:rPr>
        <w:t>商务部分</w:t>
      </w:r>
      <w:r>
        <w:rPr>
          <w:rFonts w:ascii="宋体" w:hAnsi="宋体"/>
          <w:color w:val="auto"/>
          <w:szCs w:val="21"/>
        </w:rPr>
        <w:t>得分也相同，则由评委根据</w:t>
      </w:r>
      <w:r>
        <w:rPr>
          <w:rFonts w:hint="eastAsia" w:ascii="宋体" w:hAnsi="宋体"/>
          <w:color w:val="auto"/>
          <w:szCs w:val="21"/>
        </w:rPr>
        <w:t>投标人技术部分得分高的优先；</w:t>
      </w:r>
    </w:p>
    <w:p>
      <w:pPr>
        <w:adjustRightInd w:val="0"/>
        <w:spacing w:line="420" w:lineRule="exact"/>
        <w:ind w:firstLine="420" w:firstLineChars="200"/>
        <w:contextualSpacing/>
        <w:rPr>
          <w:rFonts w:ascii="宋体" w:hAnsi="宋体"/>
          <w:color w:val="auto"/>
          <w:szCs w:val="21"/>
        </w:rPr>
      </w:pPr>
      <w:r>
        <w:rPr>
          <w:rFonts w:hint="eastAsia" w:ascii="宋体" w:hAnsi="宋体"/>
          <w:color w:val="auto"/>
          <w:szCs w:val="21"/>
        </w:rPr>
        <w:t>若技术部分得分也相等，评标委员会</w:t>
      </w:r>
      <w:r>
        <w:rPr>
          <w:rFonts w:ascii="宋体" w:hAnsi="宋体"/>
          <w:color w:val="auto"/>
          <w:szCs w:val="21"/>
        </w:rPr>
        <w:t>通过记名投票表决（不得弃权），以“少数服从多数”的原则确定排序。</w:t>
      </w:r>
    </w:p>
    <w:p>
      <w:pPr>
        <w:spacing w:line="420" w:lineRule="exact"/>
        <w:contextualSpacing/>
        <w:rPr>
          <w:color w:val="auto"/>
          <w:szCs w:val="20"/>
        </w:rPr>
      </w:pPr>
      <w:r>
        <w:rPr>
          <w:rFonts w:hint="eastAsia" w:ascii="宋体" w:hAnsi="宋体"/>
          <w:color w:val="auto"/>
          <w:szCs w:val="21"/>
        </w:rPr>
        <w:t>（2）</w:t>
      </w:r>
      <w:r>
        <w:rPr>
          <w:rFonts w:ascii="宋体" w:hAnsi="宋体"/>
          <w:color w:val="auto"/>
          <w:szCs w:val="21"/>
        </w:rPr>
        <w:t>招标人</w:t>
      </w:r>
      <w:r>
        <w:rPr>
          <w:rFonts w:hint="eastAsia" w:ascii="宋体" w:hAnsi="宋体"/>
          <w:color w:val="auto"/>
          <w:szCs w:val="21"/>
        </w:rPr>
        <w:t>可</w:t>
      </w:r>
      <w:r>
        <w:rPr>
          <w:rFonts w:ascii="宋体" w:hAnsi="宋体"/>
          <w:color w:val="auto"/>
          <w:szCs w:val="21"/>
        </w:rPr>
        <w:t>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20" w:lineRule="exact"/>
        <w:contextualSpacing/>
        <w:rPr>
          <w:b/>
          <w:color w:val="auto"/>
        </w:rPr>
      </w:pPr>
      <w:r>
        <w:rPr>
          <w:rFonts w:hint="eastAsia"/>
          <w:b/>
          <w:color w:val="auto"/>
        </w:rPr>
        <w:t>7.2中标通知</w:t>
      </w:r>
      <w:bookmarkEnd w:id="106"/>
      <w:bookmarkEnd w:id="107"/>
      <w:bookmarkEnd w:id="108"/>
      <w:bookmarkEnd w:id="109"/>
    </w:p>
    <w:p>
      <w:pPr>
        <w:spacing w:line="420" w:lineRule="exact"/>
        <w:contextualSpacing/>
        <w:rPr>
          <w:color w:val="auto"/>
        </w:rPr>
      </w:pPr>
      <w:r>
        <w:rPr>
          <w:rFonts w:hint="eastAsia"/>
          <w:color w:val="auto"/>
        </w:rPr>
        <w:t>在本章第3.3款规定的投标有效期内，招标人以书面形式向中标人发出中标通知书，同时将中标结果通知未中标的投标人。</w:t>
      </w:r>
    </w:p>
    <w:p>
      <w:pPr>
        <w:spacing w:line="420" w:lineRule="exact"/>
        <w:contextualSpacing/>
        <w:rPr>
          <w:b/>
          <w:color w:val="auto"/>
        </w:rPr>
      </w:pPr>
      <w:bookmarkStart w:id="110" w:name="_Toc152045569"/>
      <w:bookmarkStart w:id="111" w:name="_Toc179632587"/>
      <w:bookmarkStart w:id="112" w:name="_Toc144974537"/>
      <w:bookmarkStart w:id="113" w:name="_Toc152042345"/>
      <w:r>
        <w:rPr>
          <w:rFonts w:hint="eastAsia"/>
          <w:b/>
          <w:color w:val="auto"/>
        </w:rPr>
        <w:t>7.3履约担保</w:t>
      </w:r>
      <w:bookmarkEnd w:id="110"/>
      <w:bookmarkEnd w:id="111"/>
      <w:bookmarkEnd w:id="112"/>
      <w:bookmarkEnd w:id="113"/>
    </w:p>
    <w:p>
      <w:pPr>
        <w:spacing w:line="420" w:lineRule="exact"/>
        <w:contextualSpacing/>
        <w:rPr>
          <w:color w:val="auto"/>
        </w:rPr>
      </w:pPr>
      <w:r>
        <w:rPr>
          <w:rFonts w:hint="eastAsia"/>
          <w:color w:val="auto"/>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420" w:lineRule="exact"/>
        <w:contextualSpacing/>
        <w:rPr>
          <w:color w:val="auto"/>
        </w:rPr>
      </w:pPr>
      <w:r>
        <w:rPr>
          <w:rFonts w:hint="eastAsia"/>
          <w:color w:val="auto"/>
        </w:rPr>
        <w:t>7.3.2中标人不能按本章第7.3.1项要求提交履约担保的，视为放弃中标，其投标保证金不予退还，给招标人造成的损失超过投标保证金数额的，中标人还应当对超过部分予以赔偿。</w:t>
      </w:r>
    </w:p>
    <w:p>
      <w:pPr>
        <w:spacing w:line="420" w:lineRule="exact"/>
        <w:contextualSpacing/>
        <w:rPr>
          <w:b/>
          <w:color w:val="auto"/>
        </w:rPr>
      </w:pPr>
      <w:r>
        <w:rPr>
          <w:rFonts w:hint="eastAsia"/>
          <w:b/>
          <w:color w:val="auto"/>
        </w:rPr>
        <w:t>7.4签订合同</w:t>
      </w:r>
    </w:p>
    <w:p>
      <w:pPr>
        <w:spacing w:line="420" w:lineRule="exact"/>
        <w:contextualSpacing/>
        <w:rPr>
          <w:color w:val="auto"/>
        </w:rPr>
      </w:pPr>
      <w:r>
        <w:rPr>
          <w:rFonts w:hint="eastAsia"/>
          <w:color w:val="auto"/>
        </w:rPr>
        <w:t>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pStyle w:val="4"/>
        <w:tabs>
          <w:tab w:val="left" w:pos="425"/>
        </w:tabs>
        <w:ind w:left="425" w:hanging="425"/>
        <w:rPr>
          <w:rFonts w:ascii="宋体" w:hAnsi="宋体"/>
          <w:color w:val="auto"/>
          <w:spacing w:val="1"/>
          <w:w w:val="99"/>
          <w:kern w:val="0"/>
        </w:rPr>
      </w:pPr>
      <w:bookmarkStart w:id="114" w:name="第02章投标人须知08"/>
      <w:bookmarkEnd w:id="114"/>
      <w:bookmarkStart w:id="115" w:name="_Toc434396986"/>
      <w:bookmarkStart w:id="116" w:name="_Toc433215188"/>
      <w:bookmarkStart w:id="117" w:name="_Toc518893832"/>
      <w:bookmarkStart w:id="118" w:name="_Toc518908455"/>
      <w:r>
        <w:rPr>
          <w:rFonts w:hint="eastAsia" w:ascii="宋体" w:hAnsi="宋体"/>
          <w:color w:val="auto"/>
          <w:spacing w:val="1"/>
          <w:w w:val="99"/>
          <w:kern w:val="0"/>
        </w:rPr>
        <w:t>8重新招标和不再招标</w:t>
      </w:r>
      <w:bookmarkEnd w:id="115"/>
      <w:bookmarkEnd w:id="116"/>
      <w:bookmarkEnd w:id="117"/>
      <w:bookmarkEnd w:id="118"/>
    </w:p>
    <w:p>
      <w:pPr>
        <w:spacing w:line="420" w:lineRule="exact"/>
        <w:contextualSpacing/>
        <w:rPr>
          <w:b/>
          <w:color w:val="auto"/>
        </w:rPr>
      </w:pPr>
      <w:r>
        <w:rPr>
          <w:rFonts w:hint="eastAsia"/>
          <w:b/>
          <w:color w:val="auto"/>
        </w:rPr>
        <w:t>8.1重新招标</w:t>
      </w:r>
    </w:p>
    <w:p>
      <w:pPr>
        <w:spacing w:line="420" w:lineRule="exact"/>
        <w:contextualSpacing/>
        <w:rPr>
          <w:color w:val="auto"/>
        </w:rPr>
      </w:pPr>
      <w:r>
        <w:rPr>
          <w:rFonts w:hint="eastAsia"/>
          <w:color w:val="auto"/>
        </w:rPr>
        <w:t>有下列情形之一的，招标人将重新招标：</w:t>
      </w:r>
    </w:p>
    <w:p>
      <w:pPr>
        <w:spacing w:line="420" w:lineRule="exact"/>
        <w:contextualSpacing/>
        <w:rPr>
          <w:color w:val="auto"/>
        </w:rPr>
      </w:pPr>
      <w:r>
        <w:rPr>
          <w:rFonts w:hint="eastAsia"/>
          <w:color w:val="auto"/>
        </w:rPr>
        <w:t>(1)无人投标或经评标委员会评审后否决所有投标的；</w:t>
      </w:r>
    </w:p>
    <w:p>
      <w:pPr>
        <w:spacing w:line="420" w:lineRule="exact"/>
        <w:contextualSpacing/>
        <w:rPr>
          <w:color w:val="auto"/>
        </w:rPr>
      </w:pPr>
      <w:r>
        <w:rPr>
          <w:rFonts w:hint="eastAsia"/>
          <w:color w:val="auto"/>
        </w:rPr>
        <w:t>(2)中标候选人均未与招标人签订合同的。</w:t>
      </w:r>
    </w:p>
    <w:p>
      <w:pPr>
        <w:spacing w:line="420" w:lineRule="exact"/>
        <w:contextualSpacing/>
        <w:rPr>
          <w:color w:val="auto"/>
        </w:rPr>
      </w:pPr>
      <w:r>
        <w:rPr>
          <w:rFonts w:hint="eastAsia"/>
          <w:color w:val="auto"/>
        </w:rPr>
        <w:t>(3)</w:t>
      </w:r>
      <w:r>
        <w:rPr>
          <w:rFonts w:hint="eastAsia" w:ascii="宋体" w:hAnsi="宋体"/>
          <w:color w:val="auto"/>
          <w:szCs w:val="21"/>
        </w:rPr>
        <w:t>招标文件发售期截止后，购买招标文件的潜在投标人少于3个的，经招标人确认后，可以重新招标。</w:t>
      </w:r>
    </w:p>
    <w:p>
      <w:pPr>
        <w:spacing w:line="420" w:lineRule="exact"/>
        <w:contextualSpacing/>
        <w:rPr>
          <w:b/>
          <w:color w:val="auto"/>
        </w:rPr>
      </w:pPr>
      <w:r>
        <w:rPr>
          <w:rFonts w:hint="eastAsia"/>
          <w:b/>
          <w:color w:val="auto"/>
        </w:rPr>
        <w:t>8.2不再招标</w:t>
      </w:r>
    </w:p>
    <w:p>
      <w:pPr>
        <w:spacing w:line="420" w:lineRule="exact"/>
        <w:contextualSpacing/>
        <w:rPr>
          <w:color w:val="auto"/>
        </w:rPr>
      </w:pPr>
      <w:r>
        <w:rPr>
          <w:rFonts w:hint="eastAsia"/>
          <w:color w:val="auto"/>
        </w:rPr>
        <w:t>重新招标后，仍出现本章第8.1条规定情形之一的，</w:t>
      </w:r>
      <w:r>
        <w:rPr>
          <w:rFonts w:hint="eastAsia" w:ascii="宋体" w:hAnsi="宋体"/>
          <w:color w:val="auto"/>
          <w:szCs w:val="21"/>
        </w:rPr>
        <w:t>经招标人确认后</w:t>
      </w:r>
      <w:r>
        <w:rPr>
          <w:rFonts w:hint="eastAsia"/>
          <w:color w:val="auto"/>
        </w:rPr>
        <w:t>不再进行招标。</w:t>
      </w:r>
    </w:p>
    <w:p>
      <w:pPr>
        <w:pStyle w:val="4"/>
        <w:tabs>
          <w:tab w:val="left" w:pos="425"/>
        </w:tabs>
        <w:ind w:left="425" w:hanging="425"/>
        <w:rPr>
          <w:rFonts w:ascii="宋体" w:hAnsi="宋体"/>
          <w:color w:val="auto"/>
          <w:spacing w:val="1"/>
          <w:w w:val="99"/>
          <w:kern w:val="0"/>
        </w:rPr>
      </w:pPr>
      <w:bookmarkStart w:id="119" w:name="第02章投标人须知09"/>
      <w:bookmarkEnd w:id="119"/>
      <w:bookmarkStart w:id="120" w:name="_Toc434396987"/>
      <w:bookmarkStart w:id="121" w:name="_Toc433215189"/>
      <w:bookmarkStart w:id="122" w:name="_Toc518893833"/>
      <w:bookmarkStart w:id="123" w:name="_Toc518908456"/>
      <w:r>
        <w:rPr>
          <w:rFonts w:hint="eastAsia" w:ascii="宋体" w:hAnsi="宋体"/>
          <w:color w:val="auto"/>
          <w:spacing w:val="1"/>
          <w:w w:val="99"/>
          <w:kern w:val="0"/>
        </w:rPr>
        <w:t>9纪律和监督</w:t>
      </w:r>
      <w:bookmarkEnd w:id="120"/>
      <w:bookmarkEnd w:id="121"/>
      <w:bookmarkEnd w:id="122"/>
      <w:bookmarkEnd w:id="123"/>
    </w:p>
    <w:p>
      <w:pPr>
        <w:spacing w:line="420" w:lineRule="exact"/>
        <w:contextualSpacing/>
        <w:rPr>
          <w:b/>
          <w:color w:val="auto"/>
        </w:rPr>
      </w:pPr>
      <w:r>
        <w:rPr>
          <w:rFonts w:hint="eastAsia"/>
          <w:b/>
          <w:color w:val="auto"/>
        </w:rPr>
        <w:t>9.1对招标人的纪律要求</w:t>
      </w:r>
    </w:p>
    <w:p>
      <w:pPr>
        <w:spacing w:line="420" w:lineRule="exact"/>
        <w:contextualSpacing/>
        <w:rPr>
          <w:color w:val="auto"/>
        </w:rPr>
      </w:pPr>
      <w:r>
        <w:rPr>
          <w:rFonts w:hint="eastAsia"/>
          <w:color w:val="auto"/>
        </w:rPr>
        <w:t>招标人不得泄漏招标投标活动中应当保密的情况和资料，不得与投标人串通损害国家利益、社会公共利益或者他人合法权益。</w:t>
      </w:r>
    </w:p>
    <w:p>
      <w:pPr>
        <w:spacing w:line="420" w:lineRule="exact"/>
        <w:contextualSpacing/>
        <w:rPr>
          <w:color w:val="auto"/>
        </w:rPr>
      </w:pPr>
      <w:r>
        <w:rPr>
          <w:rFonts w:hint="eastAsia"/>
          <w:color w:val="auto"/>
        </w:rPr>
        <w:t>下列行为均属招标人与投标人串通投标：</w:t>
      </w:r>
    </w:p>
    <w:p>
      <w:pPr>
        <w:spacing w:line="420" w:lineRule="exact"/>
        <w:contextualSpacing/>
        <w:rPr>
          <w:color w:val="auto"/>
        </w:rPr>
      </w:pPr>
      <w:r>
        <w:rPr>
          <w:rFonts w:hint="eastAsia"/>
          <w:color w:val="auto"/>
        </w:rPr>
        <w:t>(1)招标人在开标前开启投标文件，并将投标情况告知其它投标人，或者协助投标人撤换投标文件，更改报价；</w:t>
      </w:r>
    </w:p>
    <w:p>
      <w:pPr>
        <w:spacing w:line="420" w:lineRule="exact"/>
        <w:contextualSpacing/>
        <w:rPr>
          <w:color w:val="auto"/>
        </w:rPr>
      </w:pPr>
      <w:r>
        <w:rPr>
          <w:rFonts w:hint="eastAsia"/>
          <w:color w:val="auto"/>
        </w:rPr>
        <w:t>(2)招标人向投标人泄露标底；</w:t>
      </w:r>
    </w:p>
    <w:p>
      <w:pPr>
        <w:spacing w:line="420" w:lineRule="exact"/>
        <w:contextualSpacing/>
        <w:rPr>
          <w:color w:val="auto"/>
        </w:rPr>
      </w:pPr>
      <w:r>
        <w:rPr>
          <w:rFonts w:hint="eastAsia"/>
          <w:color w:val="auto"/>
        </w:rPr>
        <w:t>(3)招标人与投标人商定，投标时压低或抬高标价，中标后再给投标人或招标人额外补偿；</w:t>
      </w:r>
    </w:p>
    <w:p>
      <w:pPr>
        <w:spacing w:line="420" w:lineRule="exact"/>
        <w:contextualSpacing/>
        <w:rPr>
          <w:color w:val="auto"/>
        </w:rPr>
      </w:pPr>
      <w:r>
        <w:rPr>
          <w:rFonts w:hint="eastAsia"/>
          <w:color w:val="auto"/>
        </w:rPr>
        <w:t>(4)招标人预先内定中标人；</w:t>
      </w:r>
    </w:p>
    <w:p>
      <w:pPr>
        <w:spacing w:line="420" w:lineRule="exact"/>
        <w:contextualSpacing/>
        <w:rPr>
          <w:color w:val="auto"/>
        </w:rPr>
      </w:pPr>
      <w:r>
        <w:rPr>
          <w:rFonts w:hint="eastAsia"/>
          <w:color w:val="auto"/>
        </w:rPr>
        <w:t>(5)其它串通投标行为。</w:t>
      </w:r>
    </w:p>
    <w:p>
      <w:pPr>
        <w:spacing w:line="420" w:lineRule="exact"/>
        <w:contextualSpacing/>
        <w:rPr>
          <w:b/>
          <w:color w:val="auto"/>
        </w:rPr>
      </w:pPr>
      <w:r>
        <w:rPr>
          <w:rFonts w:hint="eastAsia"/>
          <w:b/>
          <w:color w:val="auto"/>
        </w:rPr>
        <w:t>9.2对投标人的纪律要求</w:t>
      </w:r>
    </w:p>
    <w:p>
      <w:pPr>
        <w:spacing w:line="420" w:lineRule="exact"/>
        <w:contextualSpacing/>
        <w:rPr>
          <w:color w:val="auto"/>
        </w:rPr>
      </w:pPr>
      <w:r>
        <w:rPr>
          <w:rFonts w:hint="eastAsia"/>
          <w:color w:val="auto"/>
        </w:rPr>
        <w:t>投标人不得相互串通投标或者与招标人串通投标，不得向招标人或者评标委员会成员行贿谋取中标，不得以他人名义投标或者以其它方式弄虚作假骗取中标；投标人不得以任何方式干扰、影响评标工作。</w:t>
      </w:r>
    </w:p>
    <w:p>
      <w:pPr>
        <w:spacing w:line="420" w:lineRule="exact"/>
        <w:contextualSpacing/>
        <w:rPr>
          <w:color w:val="auto"/>
        </w:rPr>
      </w:pPr>
      <w:r>
        <w:rPr>
          <w:rFonts w:hint="eastAsia"/>
          <w:color w:val="auto"/>
        </w:rPr>
        <w:t>9.2.1下列行为均属以他人名义投标：</w:t>
      </w:r>
    </w:p>
    <w:p>
      <w:pPr>
        <w:spacing w:line="420" w:lineRule="exact"/>
        <w:contextualSpacing/>
        <w:rPr>
          <w:color w:val="auto"/>
        </w:rPr>
      </w:pPr>
      <w:r>
        <w:rPr>
          <w:rFonts w:hint="eastAsia"/>
          <w:color w:val="auto"/>
        </w:rPr>
        <w:t>(1)投标人挂靠其它施工单位；</w:t>
      </w:r>
    </w:p>
    <w:p>
      <w:pPr>
        <w:spacing w:line="420" w:lineRule="exact"/>
        <w:contextualSpacing/>
        <w:rPr>
          <w:color w:val="auto"/>
        </w:rPr>
      </w:pPr>
      <w:r>
        <w:rPr>
          <w:rFonts w:hint="eastAsia"/>
          <w:color w:val="auto"/>
        </w:rPr>
        <w:t>(2)投标人从其它施工单位通过转让或租借的方式获取资格或资质证书；</w:t>
      </w:r>
    </w:p>
    <w:p>
      <w:pPr>
        <w:spacing w:line="420" w:lineRule="exact"/>
        <w:contextualSpacing/>
        <w:rPr>
          <w:color w:val="auto"/>
        </w:rPr>
      </w:pPr>
      <w:r>
        <w:rPr>
          <w:rFonts w:hint="eastAsia"/>
          <w:color w:val="auto"/>
        </w:rPr>
        <w:t>(3)由其它单位及法定代表人在自己编制的投标文件上加盖印章或签字的行为。</w:t>
      </w:r>
    </w:p>
    <w:p>
      <w:pPr>
        <w:spacing w:line="420" w:lineRule="exact"/>
        <w:contextualSpacing/>
        <w:rPr>
          <w:color w:val="auto"/>
        </w:rPr>
      </w:pPr>
      <w:r>
        <w:rPr>
          <w:rFonts w:hint="eastAsia"/>
          <w:color w:val="auto"/>
        </w:rPr>
        <w:t>9.2.2下列行为，视为允许他人以本单位名义承揽工程：</w:t>
      </w:r>
    </w:p>
    <w:p>
      <w:pPr>
        <w:spacing w:line="420" w:lineRule="exact"/>
        <w:contextualSpacing/>
        <w:rPr>
          <w:color w:val="auto"/>
        </w:rPr>
      </w:pPr>
      <w:r>
        <w:rPr>
          <w:rFonts w:hint="eastAsia"/>
          <w:color w:val="auto"/>
        </w:rPr>
        <w:t>(1)投标人的法定代表人的</w:t>
      </w:r>
      <w:r>
        <w:rPr>
          <w:rFonts w:hint="eastAsia" w:ascii="宋体" w:hAnsi="宋体"/>
          <w:color w:val="auto"/>
          <w:szCs w:val="21"/>
        </w:rPr>
        <w:t>授权代表</w:t>
      </w:r>
      <w:r>
        <w:rPr>
          <w:rFonts w:hint="eastAsia"/>
          <w:color w:val="auto"/>
        </w:rPr>
        <w:t>不是投标人本单位人员；</w:t>
      </w:r>
    </w:p>
    <w:p>
      <w:pPr>
        <w:spacing w:line="420" w:lineRule="exact"/>
        <w:contextualSpacing/>
        <w:rPr>
          <w:color w:val="auto"/>
        </w:rPr>
      </w:pPr>
      <w:r>
        <w:rPr>
          <w:rFonts w:hint="eastAsia"/>
          <w:color w:val="auto"/>
        </w:rPr>
        <w:t>(2)投标人拟在施工现场所设项目管理机构的项目经理、技术负责人、财务负责人、质量管理人员、不是本单位人员。</w:t>
      </w:r>
    </w:p>
    <w:p>
      <w:pPr>
        <w:spacing w:line="420" w:lineRule="exact"/>
        <w:contextualSpacing/>
        <w:rPr>
          <w:color w:val="auto"/>
        </w:rPr>
      </w:pPr>
      <w:r>
        <w:rPr>
          <w:rFonts w:hint="eastAsia"/>
          <w:color w:val="auto"/>
        </w:rPr>
        <w:t>投标人本单位人员，必须同时满足以下条件：</w:t>
      </w:r>
    </w:p>
    <w:p>
      <w:pPr>
        <w:spacing w:line="420" w:lineRule="exact"/>
        <w:contextualSpacing/>
        <w:rPr>
          <w:color w:val="auto"/>
        </w:rPr>
      </w:pPr>
      <w:r>
        <w:rPr>
          <w:rFonts w:hint="eastAsia"/>
          <w:color w:val="auto"/>
        </w:rPr>
        <w:t>(1)聘任合同必须由投标人单位与之签订；</w:t>
      </w:r>
    </w:p>
    <w:p>
      <w:pPr>
        <w:spacing w:line="420" w:lineRule="exact"/>
        <w:contextualSpacing/>
        <w:rPr>
          <w:color w:val="auto"/>
        </w:rPr>
      </w:pPr>
      <w:r>
        <w:rPr>
          <w:rFonts w:hint="eastAsia"/>
          <w:color w:val="auto"/>
        </w:rPr>
        <w:t>(2)与投标人单位有合法的工资关系；</w:t>
      </w:r>
    </w:p>
    <w:p>
      <w:pPr>
        <w:spacing w:line="420" w:lineRule="exact"/>
        <w:contextualSpacing/>
        <w:rPr>
          <w:color w:val="auto"/>
        </w:rPr>
      </w:pPr>
      <w:r>
        <w:rPr>
          <w:rFonts w:hint="eastAsia"/>
          <w:color w:val="auto"/>
        </w:rPr>
        <w:t>(3)投标人单位为其办理社会保险关系，或具有其它有效证明其为本单位人员身份的文件。</w:t>
      </w:r>
    </w:p>
    <w:p>
      <w:pPr>
        <w:spacing w:line="420" w:lineRule="exact"/>
        <w:contextualSpacing/>
        <w:rPr>
          <w:color w:val="auto"/>
        </w:rPr>
      </w:pPr>
      <w:r>
        <w:rPr>
          <w:rFonts w:hint="eastAsia"/>
          <w:color w:val="auto"/>
        </w:rPr>
        <w:t>9.2.3下列行为均属投标人串通投标报价：</w:t>
      </w:r>
    </w:p>
    <w:p>
      <w:pPr>
        <w:spacing w:line="420" w:lineRule="exact"/>
        <w:contextualSpacing/>
        <w:rPr>
          <w:color w:val="auto"/>
        </w:rPr>
      </w:pPr>
      <w:r>
        <w:rPr>
          <w:rFonts w:hint="eastAsia"/>
          <w:color w:val="auto"/>
        </w:rPr>
        <w:t>(1)投标人之间相互约定抬高或压低投标报价；</w:t>
      </w:r>
    </w:p>
    <w:p>
      <w:pPr>
        <w:spacing w:line="420" w:lineRule="exact"/>
        <w:contextualSpacing/>
        <w:rPr>
          <w:color w:val="auto"/>
        </w:rPr>
      </w:pPr>
      <w:r>
        <w:rPr>
          <w:rFonts w:hint="eastAsia"/>
          <w:color w:val="auto"/>
        </w:rPr>
        <w:t>(2)投标人之间相互约定，在招标项目中分别以高、中、低价位报价；</w:t>
      </w:r>
    </w:p>
    <w:p>
      <w:pPr>
        <w:spacing w:line="420" w:lineRule="exact"/>
        <w:contextualSpacing/>
        <w:rPr>
          <w:color w:val="auto"/>
        </w:rPr>
      </w:pPr>
      <w:r>
        <w:rPr>
          <w:rFonts w:hint="eastAsia"/>
          <w:color w:val="auto"/>
        </w:rPr>
        <w:t>(3)投标人之间先进行内部竞价，内定中标人，然后再参加投标；</w:t>
      </w:r>
    </w:p>
    <w:p>
      <w:pPr>
        <w:spacing w:line="420" w:lineRule="exact"/>
        <w:contextualSpacing/>
        <w:rPr>
          <w:color w:val="auto"/>
        </w:rPr>
      </w:pPr>
      <w:r>
        <w:rPr>
          <w:rFonts w:hint="eastAsia"/>
          <w:color w:val="auto"/>
        </w:rPr>
        <w:t>(4)投标人之间其它串通投标报价的行为。</w:t>
      </w:r>
    </w:p>
    <w:p>
      <w:pPr>
        <w:spacing w:line="420" w:lineRule="exact"/>
        <w:contextualSpacing/>
        <w:rPr>
          <w:b/>
          <w:color w:val="auto"/>
        </w:rPr>
      </w:pPr>
      <w:bookmarkStart w:id="124" w:name="_Toc152042353"/>
      <w:bookmarkStart w:id="125" w:name="_Toc152045577"/>
      <w:bookmarkStart w:id="126" w:name="_Toc144974545"/>
      <w:bookmarkStart w:id="127" w:name="_Toc179632595"/>
      <w:r>
        <w:rPr>
          <w:rFonts w:hint="eastAsia"/>
          <w:b/>
          <w:color w:val="auto"/>
        </w:rPr>
        <w:t>9.3对评标委员会成员的纪律要求</w:t>
      </w:r>
      <w:bookmarkEnd w:id="124"/>
      <w:bookmarkEnd w:id="125"/>
      <w:bookmarkEnd w:id="126"/>
      <w:bookmarkEnd w:id="127"/>
    </w:p>
    <w:p>
      <w:pPr>
        <w:spacing w:line="420" w:lineRule="exact"/>
        <w:contextualSpacing/>
        <w:rPr>
          <w:color w:val="auto"/>
        </w:rPr>
      </w:pPr>
      <w:r>
        <w:rPr>
          <w:rFonts w:hint="eastAsia"/>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420" w:lineRule="exact"/>
        <w:contextualSpacing/>
        <w:rPr>
          <w:color w:val="auto"/>
        </w:rPr>
      </w:pPr>
      <w:bookmarkStart w:id="128" w:name="_Toc152042354"/>
      <w:bookmarkStart w:id="129" w:name="_Toc152045578"/>
      <w:bookmarkStart w:id="130" w:name="_Toc179632596"/>
      <w:bookmarkStart w:id="131" w:name="_Toc144974546"/>
      <w:r>
        <w:rPr>
          <w:rFonts w:hint="eastAsia"/>
          <w:b/>
          <w:color w:val="auto"/>
        </w:rPr>
        <w:t>9.4对与评标活动有关的工作人员的纪律要求</w:t>
      </w:r>
      <w:bookmarkEnd w:id="128"/>
      <w:bookmarkEnd w:id="129"/>
      <w:bookmarkEnd w:id="130"/>
    </w:p>
    <w:p>
      <w:pPr>
        <w:spacing w:line="420" w:lineRule="exact"/>
        <w:contextualSpacing/>
        <w:rPr>
          <w:color w:val="auto"/>
        </w:rPr>
      </w:pPr>
      <w:bookmarkStart w:id="132" w:name="_Toc152042355"/>
      <w:r>
        <w:rPr>
          <w:rFonts w:hint="eastAsia"/>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132"/>
    </w:p>
    <w:bookmarkEnd w:id="131"/>
    <w:p>
      <w:pPr>
        <w:pStyle w:val="4"/>
        <w:tabs>
          <w:tab w:val="left" w:pos="425"/>
        </w:tabs>
        <w:ind w:left="425" w:hanging="425"/>
        <w:rPr>
          <w:rFonts w:ascii="宋体" w:hAnsi="宋体"/>
          <w:color w:val="auto"/>
          <w:spacing w:val="1"/>
          <w:w w:val="99"/>
          <w:kern w:val="0"/>
        </w:rPr>
      </w:pPr>
      <w:bookmarkStart w:id="133" w:name="第02章投标人须知10"/>
      <w:bookmarkEnd w:id="133"/>
      <w:bookmarkStart w:id="134" w:name="_Toc518908457"/>
      <w:bookmarkStart w:id="135" w:name="_Toc518893834"/>
      <w:bookmarkStart w:id="136" w:name="_Toc434396988"/>
      <w:bookmarkStart w:id="137" w:name="_Toc433215190"/>
      <w:r>
        <w:rPr>
          <w:rFonts w:hint="eastAsia" w:ascii="宋体" w:hAnsi="宋体"/>
          <w:color w:val="auto"/>
          <w:spacing w:val="1"/>
          <w:w w:val="99"/>
          <w:kern w:val="0"/>
        </w:rPr>
        <w:t>10需要补充的其它内容</w:t>
      </w:r>
      <w:bookmarkEnd w:id="134"/>
      <w:bookmarkEnd w:id="135"/>
      <w:bookmarkEnd w:id="136"/>
      <w:bookmarkEnd w:id="137"/>
    </w:p>
    <w:p>
      <w:pPr>
        <w:spacing w:line="420" w:lineRule="exact"/>
        <w:contextualSpacing/>
        <w:rPr>
          <w:b/>
          <w:color w:val="auto"/>
        </w:rPr>
      </w:pPr>
      <w:r>
        <w:rPr>
          <w:rFonts w:hint="eastAsia"/>
          <w:b/>
          <w:color w:val="auto"/>
        </w:rPr>
        <w:t>10.1招标代理服务费</w:t>
      </w:r>
    </w:p>
    <w:p>
      <w:pPr>
        <w:spacing w:line="420" w:lineRule="exact"/>
        <w:contextualSpacing/>
        <w:rPr>
          <w:color w:val="auto"/>
        </w:rPr>
      </w:pPr>
      <w:r>
        <w:rPr>
          <w:rFonts w:hint="eastAsia"/>
          <w:color w:val="auto"/>
        </w:rPr>
        <w:t>中标人按投标人须知前附表规定向招标人缴纳招标代理服务费。</w:t>
      </w:r>
      <w:bookmarkStart w:id="138" w:name="_Hlt269101499"/>
      <w:bookmarkEnd w:id="138"/>
    </w:p>
    <w:p>
      <w:pPr>
        <w:spacing w:line="420" w:lineRule="exact"/>
        <w:contextualSpacing/>
        <w:jc w:val="left"/>
        <w:rPr>
          <w:color w:val="auto"/>
        </w:rPr>
      </w:pPr>
    </w:p>
    <w:p>
      <w:pPr>
        <w:pStyle w:val="4"/>
        <w:tabs>
          <w:tab w:val="left" w:pos="425"/>
        </w:tabs>
        <w:ind w:left="425" w:hanging="425"/>
        <w:rPr>
          <w:rFonts w:ascii="宋体" w:hAnsi="宋体"/>
          <w:color w:val="auto"/>
          <w:spacing w:val="1"/>
          <w:w w:val="99"/>
          <w:kern w:val="0"/>
        </w:rPr>
      </w:pPr>
      <w:r>
        <w:rPr>
          <w:rFonts w:hint="eastAsia" w:ascii="宋体" w:hAnsi="宋体"/>
          <w:color w:val="auto"/>
          <w:spacing w:val="1"/>
          <w:w w:val="99"/>
          <w:kern w:val="0"/>
        </w:rPr>
        <w:t>11 异议的提出与答复</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潜在投标人或其他利害关系人对招标文件有异议的，应当在投标截止时间10日前以书面形式</w:t>
      </w:r>
    </w:p>
    <w:p>
      <w:pPr>
        <w:snapToGrid w:val="0"/>
        <w:spacing w:line="360" w:lineRule="auto"/>
        <w:rPr>
          <w:rFonts w:ascii="宋体" w:cs="宋体"/>
          <w:color w:val="auto"/>
          <w:szCs w:val="21"/>
        </w:rPr>
      </w:pPr>
      <w:r>
        <w:rPr>
          <w:rFonts w:hint="eastAsia" w:ascii="宋体" w:cs="宋体"/>
          <w:color w:val="auto"/>
          <w:szCs w:val="21"/>
        </w:rPr>
        <w:t>（加盖投标人公章）向招标人提交异议函原件，逾期异议无效。</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投标人对开标异议的，应当在开标现场提出，招标人或招标人应当当场作出答复，并制</w:t>
      </w:r>
    </w:p>
    <w:p>
      <w:pPr>
        <w:snapToGrid w:val="0"/>
        <w:spacing w:line="360" w:lineRule="auto"/>
        <w:rPr>
          <w:rFonts w:ascii="宋体" w:cs="宋体"/>
          <w:color w:val="auto"/>
          <w:szCs w:val="21"/>
        </w:rPr>
      </w:pPr>
      <w:r>
        <w:rPr>
          <w:rFonts w:hint="eastAsia" w:ascii="宋体" w:cs="宋体"/>
          <w:color w:val="auto"/>
          <w:szCs w:val="21"/>
        </w:rPr>
        <w:t>作记录。</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投标人对评标结果有异议的，</w:t>
      </w:r>
      <w:r>
        <w:rPr>
          <w:rFonts w:ascii="宋体" w:cs="宋体"/>
          <w:color w:val="auto"/>
          <w:sz w:val="21"/>
          <w:szCs w:val="21"/>
        </w:rPr>
        <w:t>应当在</w:t>
      </w:r>
      <w:r>
        <w:rPr>
          <w:rFonts w:hint="eastAsia" w:ascii="宋体" w:cs="宋体"/>
          <w:color w:val="auto"/>
          <w:sz w:val="21"/>
          <w:szCs w:val="21"/>
        </w:rPr>
        <w:t>公示期间以书面形式（加盖投标人公章）向招标人</w:t>
      </w:r>
    </w:p>
    <w:p>
      <w:pPr>
        <w:snapToGrid w:val="0"/>
        <w:spacing w:line="360" w:lineRule="auto"/>
        <w:rPr>
          <w:rFonts w:ascii="宋体" w:cs="宋体"/>
          <w:color w:val="auto"/>
          <w:szCs w:val="21"/>
        </w:rPr>
      </w:pPr>
      <w:r>
        <w:rPr>
          <w:rFonts w:hint="eastAsia" w:ascii="宋体" w:cs="宋体"/>
          <w:color w:val="auto"/>
          <w:szCs w:val="21"/>
        </w:rPr>
        <w:t>提交异议函原件，逾期异议无效。</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以联合体形式参加招标活动的，其异议应当由组成联合体的所有供应商共同提出。</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提交异议应以书面形式（加盖投标人公章）向招标人提出异议，异议内容不得</w:t>
      </w:r>
    </w:p>
    <w:p>
      <w:pPr>
        <w:snapToGrid w:val="0"/>
        <w:spacing w:line="360" w:lineRule="auto"/>
        <w:rPr>
          <w:rFonts w:ascii="宋体" w:cs="宋体"/>
          <w:color w:val="auto"/>
          <w:szCs w:val="21"/>
        </w:rPr>
      </w:pPr>
      <w:r>
        <w:rPr>
          <w:rFonts w:hint="eastAsia" w:ascii="宋体" w:cs="宋体"/>
          <w:color w:val="auto"/>
          <w:szCs w:val="21"/>
        </w:rPr>
        <w:t>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不接受投标人以电话、传真或电邮形式提交的异议。</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投标人异议应当有明确的请求和必要的证明材料，捏造事实、提供虚假材料或者以非法手段取</w:t>
      </w:r>
    </w:p>
    <w:p>
      <w:pPr>
        <w:snapToGrid w:val="0"/>
        <w:spacing w:line="360" w:lineRule="auto"/>
        <w:rPr>
          <w:rFonts w:ascii="宋体" w:cs="宋体"/>
          <w:color w:val="auto"/>
          <w:szCs w:val="21"/>
        </w:rPr>
      </w:pPr>
      <w:r>
        <w:rPr>
          <w:rFonts w:hint="eastAsia" w:ascii="宋体" w:cs="宋体"/>
          <w:color w:val="auto"/>
          <w:szCs w:val="21"/>
        </w:rPr>
        <w:t>得证明材料不能作为异议的证明材料。</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投标人异议须提供相关证明材料，包括但不限于权益受损害的情况说明及受损害的原因、证据</w:t>
      </w:r>
    </w:p>
    <w:p>
      <w:pPr>
        <w:snapToGrid w:val="0"/>
        <w:spacing w:line="360" w:lineRule="auto"/>
        <w:rPr>
          <w:rFonts w:ascii="宋体" w:cs="宋体"/>
          <w:color w:val="auto"/>
          <w:szCs w:val="21"/>
        </w:rPr>
      </w:pPr>
      <w:r>
        <w:rPr>
          <w:rFonts w:hint="eastAsia" w:ascii="宋体" w:cs="宋体"/>
          <w:color w:val="auto"/>
          <w:szCs w:val="21"/>
        </w:rPr>
        <w:t>内容等，并对异议内容的真实性承担责任。</w:t>
      </w:r>
    </w:p>
    <w:p>
      <w:pPr>
        <w:pStyle w:val="56"/>
        <w:numPr>
          <w:ilvl w:val="0"/>
          <w:numId w:val="4"/>
        </w:numPr>
        <w:snapToGrid w:val="0"/>
        <w:spacing w:line="360" w:lineRule="auto"/>
        <w:ind w:firstLineChars="0"/>
        <w:rPr>
          <w:rFonts w:ascii="宋体" w:cs="宋体"/>
          <w:color w:val="auto"/>
          <w:sz w:val="21"/>
          <w:szCs w:val="21"/>
        </w:rPr>
      </w:pPr>
      <w:r>
        <w:rPr>
          <w:rFonts w:hint="eastAsia" w:ascii="宋体" w:cs="宋体"/>
          <w:color w:val="auto"/>
          <w:sz w:val="21"/>
          <w:szCs w:val="21"/>
        </w:rPr>
        <w:t xml:space="preserve"> 招标人应当在收到书面异议之日起3日内作出答复，但答复的内容不得涉及其</w:t>
      </w:r>
    </w:p>
    <w:p>
      <w:pPr>
        <w:snapToGrid w:val="0"/>
        <w:spacing w:line="360" w:lineRule="auto"/>
        <w:rPr>
          <w:rFonts w:ascii="宋体" w:cs="宋体"/>
          <w:color w:val="auto"/>
          <w:szCs w:val="21"/>
        </w:rPr>
      </w:pPr>
      <w:r>
        <w:rPr>
          <w:rFonts w:hint="eastAsia" w:ascii="宋体" w:cs="宋体"/>
          <w:color w:val="auto"/>
          <w:szCs w:val="21"/>
        </w:rPr>
        <w:t>他投标人的商业秘密。</w:t>
      </w:r>
    </w:p>
    <w:p>
      <w:pPr>
        <w:pStyle w:val="56"/>
        <w:numPr>
          <w:ilvl w:val="0"/>
          <w:numId w:val="4"/>
        </w:numPr>
        <w:snapToGrid w:val="0"/>
        <w:spacing w:line="360" w:lineRule="auto"/>
        <w:ind w:firstLineChars="0"/>
        <w:rPr>
          <w:rFonts w:ascii="宋体" w:cs="宋体"/>
          <w:color w:val="auto"/>
          <w:szCs w:val="21"/>
        </w:rPr>
      </w:pPr>
      <w:r>
        <w:rPr>
          <w:rFonts w:hint="eastAsia" w:ascii="宋体" w:cs="宋体"/>
          <w:color w:val="auto"/>
          <w:sz w:val="21"/>
          <w:szCs w:val="21"/>
        </w:rPr>
        <w:t xml:space="preserve"> 投标人提出的异议涉及评审过程或者结果的，招标人可以组织原评审委员会协助处理异议事项，并可依据评审委员会出具的意见进行答复。</w:t>
      </w:r>
    </w:p>
    <w:p>
      <w:pPr>
        <w:snapToGrid w:val="0"/>
        <w:spacing w:line="360" w:lineRule="auto"/>
        <w:rPr>
          <w:rFonts w:ascii="宋体" w:cs="宋体"/>
          <w:color w:val="auto"/>
          <w:szCs w:val="21"/>
        </w:rPr>
      </w:pPr>
    </w:p>
    <w:p>
      <w:pPr>
        <w:pStyle w:val="2"/>
        <w:keepNext/>
        <w:keepLines/>
        <w:widowControl w:val="0"/>
        <w:spacing w:before="0" w:after="0" w:line="360" w:lineRule="auto"/>
        <w:ind w:right="0"/>
        <w:jc w:val="center"/>
        <w:rPr>
          <w:rFonts w:ascii="Times New Roman" w:hAnsi="Times New Roman"/>
          <w:color w:val="auto"/>
          <w:kern w:val="44"/>
          <w:sz w:val="44"/>
          <w:szCs w:val="44"/>
          <w:lang w:val="zh-CN"/>
        </w:rPr>
      </w:pPr>
      <w:r>
        <w:rPr>
          <w:color w:val="auto"/>
        </w:rPr>
        <w:br w:type="page"/>
      </w:r>
      <w:bookmarkStart w:id="139" w:name="第03章评标办法综合评估法"/>
      <w:bookmarkEnd w:id="139"/>
      <w:bookmarkStart w:id="140" w:name="_Toc518908458"/>
      <w:r>
        <w:rPr>
          <w:rFonts w:ascii="Times New Roman" w:hAnsi="Times New Roman"/>
          <w:color w:val="auto"/>
          <w:kern w:val="44"/>
          <w:sz w:val="44"/>
          <w:szCs w:val="44"/>
          <w:lang w:val="zh-CN"/>
        </w:rPr>
        <w:t>第3章　评标办法</w:t>
      </w:r>
      <w:bookmarkEnd w:id="140"/>
      <w:bookmarkStart w:id="141" w:name="第03章评标办法经评审的最低投标价法01"/>
      <w:bookmarkEnd w:id="141"/>
      <w:bookmarkStart w:id="142" w:name="第03章评标办法综合评估法00"/>
      <w:bookmarkEnd w:id="142"/>
      <w:bookmarkStart w:id="143" w:name="第03章评标办法综合评估法01"/>
      <w:bookmarkEnd w:id="143"/>
      <w:bookmarkStart w:id="144" w:name="第03章评标办法经评审的最低投标价法02"/>
      <w:bookmarkEnd w:id="144"/>
    </w:p>
    <w:p>
      <w:pPr>
        <w:rPr>
          <w:b/>
          <w:color w:val="auto"/>
          <w:sz w:val="28"/>
          <w:szCs w:val="28"/>
        </w:rPr>
      </w:pPr>
      <w:r>
        <w:rPr>
          <w:rFonts w:hint="eastAsia"/>
          <w:b/>
          <w:color w:val="auto"/>
          <w:sz w:val="28"/>
          <w:szCs w:val="28"/>
        </w:rPr>
        <w:t>一、评标依据</w:t>
      </w:r>
    </w:p>
    <w:p>
      <w:pPr>
        <w:spacing w:line="420" w:lineRule="exact"/>
        <w:contextualSpacing/>
        <w:rPr>
          <w:color w:val="auto"/>
        </w:rPr>
      </w:pPr>
      <w:r>
        <w:rPr>
          <w:rFonts w:hint="eastAsia"/>
          <w:color w:val="auto"/>
        </w:rPr>
        <w:t>1、《中华人民共和国招标投标法》。</w:t>
      </w:r>
    </w:p>
    <w:p>
      <w:pPr>
        <w:spacing w:line="420" w:lineRule="exact"/>
        <w:contextualSpacing/>
        <w:rPr>
          <w:color w:val="auto"/>
        </w:rPr>
      </w:pPr>
      <w:r>
        <w:rPr>
          <w:rFonts w:hint="eastAsia"/>
          <w:color w:val="auto"/>
        </w:rPr>
        <w:t>2、《中华人民共和国招标投标法实施条例》等有关法律、法规和规章的规定。</w:t>
      </w:r>
    </w:p>
    <w:p>
      <w:pPr>
        <w:spacing w:line="420" w:lineRule="exact"/>
        <w:contextualSpacing/>
        <w:rPr>
          <w:color w:val="auto"/>
        </w:rPr>
      </w:pPr>
      <w:r>
        <w:rPr>
          <w:rFonts w:hint="eastAsia"/>
          <w:color w:val="auto"/>
        </w:rPr>
        <w:t>4、本工程招标文件。</w:t>
      </w:r>
    </w:p>
    <w:p>
      <w:pPr>
        <w:rPr>
          <w:b/>
          <w:color w:val="auto"/>
          <w:sz w:val="28"/>
          <w:szCs w:val="28"/>
        </w:rPr>
      </w:pPr>
      <w:r>
        <w:rPr>
          <w:rFonts w:hint="eastAsia"/>
          <w:b/>
          <w:color w:val="auto"/>
          <w:sz w:val="28"/>
          <w:szCs w:val="28"/>
        </w:rPr>
        <w:t>二、评标纪律</w:t>
      </w:r>
    </w:p>
    <w:p>
      <w:pPr>
        <w:spacing w:line="420" w:lineRule="exact"/>
        <w:contextualSpacing/>
        <w:rPr>
          <w:color w:val="auto"/>
        </w:rPr>
      </w:pPr>
      <w:r>
        <w:rPr>
          <w:rFonts w:hint="eastAsia"/>
          <w:color w:val="auto"/>
        </w:rPr>
        <w:t>1、参加评标的所有评标委员均不代表原来各自的单位和组织，评标委员的名单在中标结果确定前保密。</w:t>
      </w:r>
    </w:p>
    <w:p>
      <w:pPr>
        <w:spacing w:line="420" w:lineRule="exact"/>
        <w:contextualSpacing/>
        <w:rPr>
          <w:color w:val="auto"/>
        </w:rPr>
      </w:pPr>
      <w:r>
        <w:rPr>
          <w:rFonts w:hint="eastAsia"/>
          <w:color w:val="auto"/>
        </w:rPr>
        <w:t>2、评标委员会和与评标活动有关的工作人员不得透露对投标文件的评审和比较、中标候选人的推荐情况以及与评标有关的其它情况。</w:t>
      </w:r>
    </w:p>
    <w:p>
      <w:pPr>
        <w:spacing w:line="420" w:lineRule="exact"/>
        <w:contextualSpacing/>
        <w:rPr>
          <w:color w:val="auto"/>
        </w:rPr>
      </w:pPr>
      <w:r>
        <w:rPr>
          <w:rFonts w:hint="eastAsia"/>
          <w:color w:val="auto"/>
        </w:rPr>
        <w:t>3、评标委员会成员对所提出的评审意见承担个人责任，评标委员不得与任何投标人或者与招标结果有利害关系的人进行私下接触。</w:t>
      </w:r>
    </w:p>
    <w:p>
      <w:pPr>
        <w:spacing w:line="420" w:lineRule="exact"/>
        <w:contextualSpacing/>
        <w:rPr>
          <w:color w:val="auto"/>
        </w:rPr>
      </w:pPr>
      <w:r>
        <w:rPr>
          <w:rFonts w:hint="eastAsia"/>
          <w:color w:val="auto"/>
        </w:rPr>
        <w:t>4、评标委员应站在公平、公正的立场，严格按照评标办法、招标文件和国家有关技术规范的规定进行，不得随意修改评标办法。</w:t>
      </w:r>
    </w:p>
    <w:p>
      <w:pPr>
        <w:rPr>
          <w:b/>
          <w:color w:val="auto"/>
          <w:sz w:val="28"/>
          <w:szCs w:val="28"/>
        </w:rPr>
      </w:pPr>
      <w:r>
        <w:rPr>
          <w:rFonts w:hint="eastAsia"/>
          <w:b/>
          <w:color w:val="auto"/>
          <w:sz w:val="28"/>
          <w:szCs w:val="28"/>
        </w:rPr>
        <w:t>三、评标程序</w:t>
      </w:r>
    </w:p>
    <w:p>
      <w:pPr>
        <w:numPr>
          <w:ilvl w:val="0"/>
          <w:numId w:val="5"/>
        </w:numPr>
        <w:spacing w:line="420" w:lineRule="exact"/>
        <w:ind w:hangingChars="200"/>
        <w:contextualSpacing/>
        <w:rPr>
          <w:color w:val="auto"/>
        </w:rPr>
      </w:pPr>
      <w:r>
        <w:rPr>
          <w:rFonts w:hint="eastAsia"/>
          <w:color w:val="auto"/>
        </w:rPr>
        <w:t>主持人宣布评标委员会成员名单并确定主任委员。</w:t>
      </w:r>
    </w:p>
    <w:p>
      <w:pPr>
        <w:numPr>
          <w:ilvl w:val="0"/>
          <w:numId w:val="5"/>
        </w:numPr>
        <w:spacing w:line="420" w:lineRule="exact"/>
        <w:ind w:hangingChars="200"/>
        <w:contextualSpacing/>
        <w:rPr>
          <w:color w:val="auto"/>
        </w:rPr>
      </w:pPr>
      <w:r>
        <w:rPr>
          <w:rFonts w:hint="eastAsia"/>
          <w:color w:val="auto"/>
        </w:rPr>
        <w:t>宣布有关评标纪律。</w:t>
      </w:r>
    </w:p>
    <w:p>
      <w:pPr>
        <w:numPr>
          <w:ilvl w:val="0"/>
          <w:numId w:val="5"/>
        </w:numPr>
        <w:spacing w:line="420" w:lineRule="exact"/>
        <w:ind w:hangingChars="200"/>
        <w:contextualSpacing/>
        <w:rPr>
          <w:color w:val="auto"/>
        </w:rPr>
      </w:pPr>
      <w:r>
        <w:rPr>
          <w:rFonts w:hint="eastAsia" w:ascii="宋体" w:cs="宋体"/>
          <w:color w:val="auto"/>
          <w:szCs w:val="21"/>
        </w:rPr>
        <w:t>本评标办法采用</w:t>
      </w:r>
      <w:r>
        <w:rPr>
          <w:rFonts w:hint="eastAsia" w:ascii="宋体" w:cs="宋体"/>
          <w:b/>
          <w:color w:val="auto"/>
          <w:szCs w:val="21"/>
          <w:u w:val="single"/>
        </w:rPr>
        <w:t>最低评标价法</w:t>
      </w:r>
      <w:r>
        <w:rPr>
          <w:rFonts w:hint="eastAsia" w:ascii="宋体" w:cs="宋体"/>
          <w:color w:val="auto"/>
          <w:szCs w:val="21"/>
        </w:rPr>
        <w:t>。</w:t>
      </w:r>
      <w:r>
        <w:rPr>
          <w:rFonts w:hint="eastAsia"/>
          <w:color w:val="auto"/>
        </w:rPr>
        <w:t>评委先进行资格性符合性审查，</w:t>
      </w:r>
      <w:r>
        <w:rPr>
          <w:rFonts w:hint="eastAsia" w:ascii="宋体" w:cs="宋体"/>
          <w:color w:val="auto"/>
          <w:szCs w:val="21"/>
        </w:rPr>
        <w:t>对通过初审的投标文件进行价格评审，最后评标委员会出具评标报告</w:t>
      </w:r>
      <w:r>
        <w:rPr>
          <w:rFonts w:hint="eastAsia" w:ascii="宋体" w:hAnsi="宋体" w:cs="宋体"/>
          <w:color w:val="auto"/>
          <w:szCs w:val="21"/>
        </w:rPr>
        <w:t>：</w:t>
      </w:r>
      <w:r>
        <w:rPr>
          <w:rFonts w:hint="eastAsia" w:ascii="宋体" w:hAnsi="宋体"/>
          <w:color w:val="auto"/>
          <w:kern w:val="0"/>
          <w:szCs w:val="21"/>
        </w:rPr>
        <w:t>采用</w:t>
      </w:r>
      <w:r>
        <w:rPr>
          <w:rFonts w:hint="eastAsia" w:ascii="宋体" w:hAnsi="宋体" w:cs="宋体"/>
          <w:color w:val="auto"/>
          <w:kern w:val="0"/>
          <w:szCs w:val="21"/>
          <w:lang w:eastAsia="zh-TW"/>
        </w:rPr>
        <w:t>最低评标价法</w:t>
      </w:r>
      <w:r>
        <w:rPr>
          <w:rFonts w:hint="eastAsia" w:ascii="宋体" w:hAnsi="宋体" w:cs="宋体"/>
          <w:color w:val="auto"/>
          <w:kern w:val="0"/>
          <w:szCs w:val="21"/>
        </w:rPr>
        <w:t>的，</w:t>
      </w:r>
      <w:r>
        <w:rPr>
          <w:rFonts w:hint="eastAsia" w:ascii="宋体" w:hAnsi="宋体" w:cs="宋体"/>
          <w:color w:val="auto"/>
          <w:kern w:val="0"/>
          <w:szCs w:val="21"/>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pPr>
        <w:numPr>
          <w:ilvl w:val="0"/>
          <w:numId w:val="5"/>
        </w:numPr>
        <w:spacing w:line="420" w:lineRule="exact"/>
        <w:ind w:hangingChars="200"/>
        <w:contextualSpacing/>
        <w:rPr>
          <w:color w:val="auto"/>
        </w:rPr>
      </w:pPr>
      <w:r>
        <w:rPr>
          <w:rFonts w:hint="eastAsia"/>
          <w:color w:val="auto"/>
        </w:rPr>
        <w:t>提交评标报告，中标结果由招标人通知所有投标人。</w:t>
      </w:r>
    </w:p>
    <w:p>
      <w:pPr>
        <w:rPr>
          <w:b/>
          <w:color w:val="auto"/>
          <w:sz w:val="28"/>
          <w:szCs w:val="28"/>
        </w:rPr>
      </w:pPr>
      <w:r>
        <w:rPr>
          <w:rFonts w:hint="eastAsia"/>
          <w:b/>
          <w:color w:val="auto"/>
          <w:sz w:val="28"/>
          <w:szCs w:val="28"/>
        </w:rPr>
        <w:t>四、评标办法</w:t>
      </w:r>
    </w:p>
    <w:p>
      <w:pPr>
        <w:numPr>
          <w:ilvl w:val="0"/>
          <w:numId w:val="6"/>
        </w:numPr>
        <w:spacing w:line="420" w:lineRule="exact"/>
        <w:contextualSpacing/>
        <w:rPr>
          <w:color w:val="auto"/>
        </w:rPr>
      </w:pPr>
      <w:r>
        <w:rPr>
          <w:rFonts w:hint="eastAsia"/>
          <w:color w:val="auto"/>
        </w:rPr>
        <w:t>评标委员会首先对投标单位的投标文件进行资格性、符合性评审，有一项不符合评审标准的，</w:t>
      </w:r>
      <w:r>
        <w:rPr>
          <w:rFonts w:hint="eastAsia" w:ascii="宋体" w:hAnsi="宋体" w:cs="MS Mincho"/>
          <w:color w:val="auto"/>
          <w:szCs w:val="21"/>
        </w:rPr>
        <w:t>其投标将被否决</w:t>
      </w:r>
      <w:r>
        <w:rPr>
          <w:rFonts w:hint="eastAsia"/>
          <w:color w:val="auto"/>
        </w:rPr>
        <w:t>。</w:t>
      </w:r>
    </w:p>
    <w:p>
      <w:pPr>
        <w:numPr>
          <w:ilvl w:val="0"/>
          <w:numId w:val="6"/>
        </w:numPr>
        <w:spacing w:line="420" w:lineRule="exact"/>
        <w:contextualSpacing/>
        <w:rPr>
          <w:color w:val="auto"/>
        </w:rPr>
      </w:pPr>
      <w:r>
        <w:rPr>
          <w:rFonts w:hint="eastAsia"/>
          <w:color w:val="auto"/>
        </w:rPr>
        <w:t>投标人有以下情形之一的，</w:t>
      </w:r>
      <w:r>
        <w:rPr>
          <w:rFonts w:hint="eastAsia" w:ascii="宋体" w:hAnsi="宋体" w:cs="MS Mincho"/>
          <w:color w:val="auto"/>
          <w:szCs w:val="21"/>
        </w:rPr>
        <w:t>其投标将被否决</w:t>
      </w:r>
      <w:r>
        <w:rPr>
          <w:rFonts w:hint="eastAsia"/>
          <w:color w:val="auto"/>
        </w:rPr>
        <w:t>：</w:t>
      </w:r>
    </w:p>
    <w:p>
      <w:pPr>
        <w:spacing w:line="420" w:lineRule="exact"/>
        <w:contextualSpacing/>
        <w:rPr>
          <w:color w:val="auto"/>
        </w:rPr>
      </w:pPr>
      <w:r>
        <w:rPr>
          <w:rFonts w:hint="eastAsia"/>
          <w:color w:val="auto"/>
        </w:rPr>
        <w:t>（1）第二章“投标人须知”第1.4.3项规定的任何一种情形的；</w:t>
      </w:r>
    </w:p>
    <w:p>
      <w:pPr>
        <w:spacing w:line="420" w:lineRule="exact"/>
        <w:contextualSpacing/>
        <w:rPr>
          <w:color w:val="auto"/>
        </w:rPr>
      </w:pPr>
      <w:r>
        <w:rPr>
          <w:rFonts w:hint="eastAsia"/>
          <w:color w:val="auto"/>
        </w:rPr>
        <w:t>（2）串通投标或弄虚作假或有其他违法行为的；</w:t>
      </w:r>
    </w:p>
    <w:p>
      <w:pPr>
        <w:spacing w:line="420" w:lineRule="exact"/>
        <w:contextualSpacing/>
        <w:rPr>
          <w:color w:val="auto"/>
        </w:rPr>
      </w:pPr>
      <w:r>
        <w:rPr>
          <w:rFonts w:hint="eastAsia"/>
          <w:color w:val="auto"/>
        </w:rPr>
        <w:t>（3）不按评标委员会要求澄清、说明或补正的。</w:t>
      </w:r>
    </w:p>
    <w:p>
      <w:pPr>
        <w:numPr>
          <w:ilvl w:val="0"/>
          <w:numId w:val="6"/>
        </w:numPr>
        <w:spacing w:line="420" w:lineRule="exact"/>
        <w:contextualSpacing/>
        <w:rPr>
          <w:color w:val="auto"/>
        </w:rPr>
      </w:pPr>
      <w:r>
        <w:rPr>
          <w:rFonts w:hint="eastAsia"/>
          <w:color w:val="auto"/>
        </w:rPr>
        <w:t>投标文件的澄清</w:t>
      </w:r>
    </w:p>
    <w:p>
      <w:pPr>
        <w:pStyle w:val="56"/>
        <w:numPr>
          <w:ilvl w:val="0"/>
          <w:numId w:val="7"/>
        </w:numPr>
        <w:snapToGrid w:val="0"/>
        <w:spacing w:line="360" w:lineRule="auto"/>
        <w:ind w:left="567" w:hanging="567" w:firstLineChars="0"/>
        <w:rPr>
          <w:rFonts w:ascii="宋体" w:hAnsi="宋体" w:cs="黑体"/>
          <w:bCs/>
          <w:color w:val="auto"/>
          <w:sz w:val="21"/>
          <w:szCs w:val="21"/>
        </w:rPr>
      </w:pPr>
      <w:r>
        <w:rPr>
          <w:rFonts w:hint="eastAsia" w:ascii="宋体" w:hAnsi="宋体" w:cs="黑体"/>
          <w:bCs/>
          <w:color w:val="auto"/>
          <w:sz w:val="21"/>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cs="宋体"/>
          <w:color w:val="auto"/>
          <w:sz w:val="21"/>
          <w:szCs w:val="21"/>
          <w:lang w:eastAsia="zh-TW"/>
        </w:rPr>
        <w:t>投标人的澄清</w:t>
      </w:r>
      <w:r>
        <w:rPr>
          <w:rFonts w:hint="eastAsia" w:ascii="宋体" w:hAnsi="宋体" w:cs="宋体"/>
          <w:color w:val="auto"/>
          <w:sz w:val="21"/>
          <w:szCs w:val="21"/>
        </w:rPr>
        <w:t>或</w:t>
      </w:r>
      <w:r>
        <w:rPr>
          <w:rFonts w:hint="eastAsia" w:ascii="宋体" w:hAnsi="宋体" w:cs="宋体"/>
          <w:color w:val="auto"/>
          <w:sz w:val="21"/>
          <w:szCs w:val="21"/>
          <w:lang w:eastAsia="zh-TW"/>
        </w:rPr>
        <w:t>说明</w:t>
      </w:r>
      <w:r>
        <w:rPr>
          <w:rFonts w:hint="eastAsia" w:ascii="宋体" w:hAnsi="宋体" w:cs="宋体"/>
          <w:color w:val="auto"/>
          <w:sz w:val="21"/>
          <w:szCs w:val="21"/>
        </w:rPr>
        <w:t>答复应加盖公章或</w:t>
      </w:r>
      <w:r>
        <w:rPr>
          <w:rFonts w:hint="eastAsia" w:ascii="宋体" w:hAnsi="宋体" w:cs="宋体"/>
          <w:color w:val="auto"/>
          <w:sz w:val="21"/>
          <w:szCs w:val="21"/>
          <w:lang w:eastAsia="zh-TW"/>
        </w:rPr>
        <w:t>由投标人的法定代表人或其授权的代表签字</w:t>
      </w:r>
      <w:r>
        <w:rPr>
          <w:rFonts w:hint="eastAsia" w:ascii="宋体" w:hAnsi="宋体" w:cs="宋体"/>
          <w:color w:val="auto"/>
          <w:sz w:val="21"/>
          <w:szCs w:val="21"/>
        </w:rPr>
        <w:t>或盖章。</w:t>
      </w:r>
    </w:p>
    <w:p>
      <w:pPr>
        <w:pStyle w:val="56"/>
        <w:numPr>
          <w:ilvl w:val="0"/>
          <w:numId w:val="7"/>
        </w:numPr>
        <w:snapToGrid w:val="0"/>
        <w:spacing w:line="360" w:lineRule="auto"/>
        <w:ind w:left="567" w:hanging="567" w:firstLineChars="0"/>
        <w:rPr>
          <w:rFonts w:ascii="宋体" w:hAnsi="宋体" w:cs="黑体"/>
          <w:bCs/>
          <w:color w:val="auto"/>
          <w:sz w:val="21"/>
          <w:szCs w:val="21"/>
        </w:rPr>
      </w:pPr>
      <w:r>
        <w:rPr>
          <w:rFonts w:hint="eastAsia" w:ascii="宋体" w:hAnsi="宋体" w:cs="黑体"/>
          <w:bCs/>
          <w:color w:val="auto"/>
          <w:sz w:val="21"/>
          <w:szCs w:val="21"/>
        </w:rPr>
        <w:t>投标人的澄清或说明答复文件是其投标文件的组成部分。</w:t>
      </w:r>
    </w:p>
    <w:p>
      <w:pPr>
        <w:numPr>
          <w:ilvl w:val="0"/>
          <w:numId w:val="6"/>
        </w:numPr>
        <w:spacing w:line="420" w:lineRule="exact"/>
        <w:ind w:left="0" w:firstLine="0"/>
        <w:contextualSpacing/>
        <w:rPr>
          <w:color w:val="auto"/>
          <w:szCs w:val="21"/>
        </w:rPr>
      </w:pPr>
      <w:r>
        <w:rPr>
          <w:rFonts w:hint="eastAsia"/>
          <w:color w:val="auto"/>
          <w:szCs w:val="21"/>
        </w:rPr>
        <w:t>投标报价有算术错误的，评标委员会按以下原则对投标报价进行修正，修正的价格经投标人书面确认后具有约束力。投标人不接受修正价格的，</w:t>
      </w:r>
      <w:r>
        <w:rPr>
          <w:rFonts w:hint="eastAsia" w:ascii="宋体" w:hAnsi="宋体" w:cs="MS Mincho"/>
          <w:color w:val="auto"/>
          <w:szCs w:val="21"/>
        </w:rPr>
        <w:t>其投标将被否决</w:t>
      </w:r>
      <w:r>
        <w:rPr>
          <w:rFonts w:hint="eastAsia"/>
          <w:color w:val="auto"/>
          <w:szCs w:val="21"/>
        </w:rPr>
        <w:t>。</w:t>
      </w:r>
    </w:p>
    <w:p>
      <w:pPr>
        <w:spacing w:line="420" w:lineRule="exact"/>
        <w:contextualSpacing/>
        <w:rPr>
          <w:color w:val="auto"/>
          <w:szCs w:val="21"/>
        </w:rPr>
      </w:pPr>
      <w:r>
        <w:rPr>
          <w:rFonts w:hint="eastAsia"/>
          <w:color w:val="auto"/>
          <w:szCs w:val="21"/>
        </w:rPr>
        <w:t>（1）投标文件中的大写金额与小写金额不一致的，以大写金额为准；</w:t>
      </w:r>
    </w:p>
    <w:p>
      <w:pPr>
        <w:spacing w:line="420" w:lineRule="exact"/>
        <w:contextualSpacing/>
        <w:rPr>
          <w:color w:val="auto"/>
          <w:szCs w:val="21"/>
        </w:rPr>
      </w:pPr>
      <w:r>
        <w:rPr>
          <w:rFonts w:hint="eastAsia"/>
          <w:color w:val="auto"/>
          <w:szCs w:val="21"/>
        </w:rPr>
        <w:t>（2）总价金额与依据单价计算出的结果不一致的，以单价金额为准修正总价，但单价金额小数点有明显错误的除外。</w:t>
      </w:r>
    </w:p>
    <w:p>
      <w:pPr>
        <w:jc w:val="center"/>
        <w:rPr>
          <w:b/>
          <w:color w:val="auto"/>
          <w:sz w:val="32"/>
          <w:szCs w:val="32"/>
        </w:rPr>
      </w:pPr>
    </w:p>
    <w:p>
      <w:pPr>
        <w:jc w:val="center"/>
        <w:rPr>
          <w:b/>
          <w:color w:val="auto"/>
          <w:sz w:val="32"/>
          <w:szCs w:val="32"/>
        </w:rPr>
      </w:pPr>
    </w:p>
    <w:p>
      <w:pPr>
        <w:rPr>
          <w:b/>
          <w:color w:val="auto"/>
          <w:sz w:val="32"/>
          <w:szCs w:val="32"/>
        </w:rPr>
        <w:sectPr>
          <w:pgSz w:w="11906" w:h="16838"/>
          <w:pgMar w:top="1418" w:right="1361" w:bottom="1418" w:left="1418" w:header="851" w:footer="992" w:gutter="0"/>
          <w:cols w:space="720" w:num="1"/>
          <w:docGrid w:type="lines" w:linePitch="312" w:charSpace="0"/>
        </w:sectPr>
      </w:pPr>
    </w:p>
    <w:p>
      <w:pPr>
        <w:jc w:val="center"/>
        <w:rPr>
          <w:b/>
          <w:color w:val="auto"/>
          <w:sz w:val="32"/>
          <w:szCs w:val="32"/>
        </w:rPr>
      </w:pPr>
      <w:r>
        <w:rPr>
          <w:rFonts w:hint="eastAsia"/>
          <w:b/>
          <w:color w:val="auto"/>
          <w:sz w:val="32"/>
          <w:szCs w:val="32"/>
        </w:rPr>
        <w:t>资格性、符合性评审内容</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6"/>
        <w:gridCol w:w="2267"/>
        <w:gridCol w:w="55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6" w:type="dxa"/>
            <w:tcBorders>
              <w:top w:val="single" w:color="auto" w:sz="4" w:space="0"/>
              <w:bottom w:val="single" w:color="auto" w:sz="4" w:space="0"/>
              <w:right w:val="single" w:color="auto" w:sz="4" w:space="0"/>
            </w:tcBorders>
            <w:vAlign w:val="center"/>
          </w:tcPr>
          <w:p>
            <w:pPr>
              <w:spacing w:line="420" w:lineRule="exact"/>
              <w:contextualSpacing/>
              <w:jc w:val="center"/>
              <w:rPr>
                <w:b/>
                <w:color w:val="auto"/>
                <w:szCs w:val="21"/>
              </w:rPr>
            </w:pPr>
            <w:r>
              <w:rPr>
                <w:rFonts w:hint="eastAsia"/>
                <w:b/>
                <w:color w:val="auto"/>
                <w:szCs w:val="21"/>
              </w:rPr>
              <w:t>评审内容</w:t>
            </w: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b/>
                <w:color w:val="auto"/>
                <w:szCs w:val="21"/>
              </w:rPr>
            </w:pPr>
            <w:r>
              <w:rPr>
                <w:b/>
                <w:color w:val="auto"/>
                <w:szCs w:val="21"/>
              </w:rPr>
              <w:t>评审因素</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b/>
                <w:color w:val="auto"/>
                <w:szCs w:val="21"/>
              </w:rPr>
            </w:pPr>
            <w:r>
              <w:rPr>
                <w:b/>
                <w:color w:val="auto"/>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restart"/>
            <w:tcBorders>
              <w:top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形式评审标准</w:t>
            </w: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投标人名称</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ascii="宋体" w:hAnsi="宋体"/>
                <w:color w:val="auto"/>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签字盖章</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ascii="宋体" w:hAnsi="宋体"/>
                <w:color w:val="auto"/>
                <w:szCs w:val="21"/>
              </w:rPr>
              <w:t>投标文件正本应根据招标文件要求加盖投标单位公章，并由其法定代表人或授权代表签字。投标文件应尽量避免涂改、行间插字或删除。如果出现上述情况，修改之处应加盖投标人单位公章或由投标人的法定代表人或其委授权代表签字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投标文件格式</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ascii="宋体" w:hAnsi="宋体"/>
                <w:color w:val="auto"/>
                <w:szCs w:val="21"/>
              </w:rPr>
              <w:t>符合第7章投标文件格式的要求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投标报价</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ascii="宋体" w:hAnsi="宋体"/>
                <w:color w:val="auto"/>
                <w:szCs w:val="21"/>
              </w:rPr>
              <w:t>只能有一个有效</w:t>
            </w:r>
            <w:r>
              <w:rPr>
                <w:rFonts w:hint="eastAsia" w:ascii="宋体" w:hAnsi="宋体"/>
                <w:color w:val="auto"/>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restart"/>
            <w:tcBorders>
              <w:top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资格评审标准</w:t>
            </w: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营业执照</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ascii="宋体" w:hAnsi="宋体"/>
                <w:color w:val="auto"/>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资质等级</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ascii="宋体" w:hAnsi="宋体"/>
                <w:color w:val="auto"/>
                <w:szCs w:val="21"/>
              </w:rPr>
              <w:t>符合第1章投标邀请书规定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restart"/>
            <w:tcBorders>
              <w:top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响应性评审</w:t>
            </w:r>
          </w:p>
          <w:p>
            <w:pPr>
              <w:spacing w:line="420" w:lineRule="exact"/>
              <w:contextualSpacing/>
              <w:jc w:val="center"/>
              <w:rPr>
                <w:rFonts w:ascii="宋体" w:hAnsi="宋体"/>
                <w:color w:val="auto"/>
                <w:szCs w:val="21"/>
              </w:rPr>
            </w:pPr>
            <w:r>
              <w:rPr>
                <w:rFonts w:ascii="宋体" w:hAnsi="宋体"/>
                <w:color w:val="auto"/>
                <w:szCs w:val="21"/>
              </w:rPr>
              <w:t>标准</w:t>
            </w: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投标范围</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color w:val="auto"/>
              </w:rPr>
              <w:t>符合第2章投标人须知第1.3.1款规定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计划</w:t>
            </w:r>
            <w:r>
              <w:rPr>
                <w:rFonts w:ascii="宋体" w:hAnsi="宋体"/>
                <w:color w:val="auto"/>
                <w:szCs w:val="21"/>
              </w:rPr>
              <w:t>工期</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color w:val="auto"/>
              </w:rPr>
              <w:t>符合第2章投标人须知第1.3.2款规定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ascii="宋体" w:hAnsi="宋体"/>
                <w:color w:val="auto"/>
                <w:szCs w:val="21"/>
              </w:rPr>
              <w:t>工程质量</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color w:val="auto"/>
              </w:rPr>
              <w:t>符合第2章投标人须知第1.3.3款规定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26" w:type="dxa"/>
            <w:vMerge w:val="continue"/>
            <w:tcBorders>
              <w:right w:val="single" w:color="auto" w:sz="4" w:space="0"/>
            </w:tcBorders>
            <w:vAlign w:val="center"/>
          </w:tcPr>
          <w:p>
            <w:pPr>
              <w:spacing w:line="420" w:lineRule="exact"/>
              <w:contextualSpacing/>
              <w:jc w:val="center"/>
              <w:rPr>
                <w:rFonts w:ascii="宋体" w:hAnsi="宋体"/>
                <w:color w:val="auto"/>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jc w:val="center"/>
              <w:rPr>
                <w:rFonts w:ascii="宋体" w:hAnsi="宋体"/>
                <w:color w:val="auto"/>
                <w:szCs w:val="21"/>
              </w:rPr>
            </w:pPr>
            <w:r>
              <w:rPr>
                <w:rFonts w:hint="eastAsia" w:ascii="宋体" w:hAnsi="宋体"/>
                <w:color w:val="auto"/>
                <w:szCs w:val="21"/>
              </w:rPr>
              <w:t>投标有效期</w:t>
            </w:r>
          </w:p>
        </w:tc>
        <w:tc>
          <w:tcPr>
            <w:tcW w:w="5550" w:type="dxa"/>
            <w:tcBorders>
              <w:top w:val="single" w:color="auto" w:sz="4" w:space="0"/>
              <w:left w:val="single" w:color="auto" w:sz="4" w:space="0"/>
              <w:bottom w:val="single" w:color="auto" w:sz="4" w:space="0"/>
              <w:right w:val="single" w:color="auto" w:sz="4" w:space="0"/>
            </w:tcBorders>
            <w:vAlign w:val="center"/>
          </w:tcPr>
          <w:p>
            <w:pPr>
              <w:spacing w:line="420" w:lineRule="exact"/>
              <w:contextualSpacing/>
              <w:rPr>
                <w:rFonts w:ascii="宋体" w:hAnsi="宋体"/>
                <w:color w:val="auto"/>
                <w:szCs w:val="21"/>
              </w:rPr>
            </w:pPr>
            <w:r>
              <w:rPr>
                <w:rFonts w:hint="eastAsia"/>
                <w:color w:val="auto"/>
              </w:rPr>
              <w:t>符合第2章投标人须知第3.3.1款规定</w:t>
            </w:r>
          </w:p>
        </w:tc>
      </w:tr>
    </w:tbl>
    <w:p>
      <w:pPr>
        <w:pStyle w:val="56"/>
        <w:snapToGrid w:val="0"/>
        <w:spacing w:before="156" w:beforeLines="50" w:after="156" w:afterLines="50" w:line="360" w:lineRule="auto"/>
        <w:ind w:left="420" w:firstLine="0" w:firstLineChars="0"/>
        <w:rPr>
          <w:rFonts w:ascii="黑体" w:hAnsi="宋体" w:eastAsia="黑体" w:cs="宋体"/>
          <w:color w:val="auto"/>
          <w:sz w:val="28"/>
          <w:szCs w:val="28"/>
        </w:rPr>
      </w:pPr>
    </w:p>
    <w:p>
      <w:pPr>
        <w:adjustRightInd w:val="0"/>
        <w:spacing w:before="156" w:beforeLines="50" w:line="420" w:lineRule="exact"/>
        <w:contextualSpacing/>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color w:val="auto"/>
        </w:rPr>
      </w:pPr>
      <w:r>
        <w:rPr>
          <w:color w:val="auto"/>
        </w:rPr>
        <w:br w:type="page"/>
      </w:r>
      <w:bookmarkStart w:id="145" w:name="第04章合同条款及格式"/>
      <w:bookmarkEnd w:id="145"/>
    </w:p>
    <w:p>
      <w:pPr>
        <w:pStyle w:val="2"/>
        <w:keepNext/>
        <w:keepLines/>
        <w:widowControl w:val="0"/>
        <w:spacing w:before="0" w:after="0" w:line="360" w:lineRule="auto"/>
        <w:ind w:right="0"/>
        <w:jc w:val="center"/>
        <w:rPr>
          <w:rFonts w:ascii="Times New Roman" w:hAnsi="Times New Roman"/>
          <w:color w:val="auto"/>
          <w:kern w:val="44"/>
          <w:sz w:val="44"/>
          <w:szCs w:val="44"/>
          <w:lang w:val="zh-CN"/>
        </w:rPr>
      </w:pPr>
      <w:bookmarkStart w:id="146" w:name="_Toc518908459"/>
      <w:r>
        <w:rPr>
          <w:rFonts w:ascii="Times New Roman" w:hAnsi="Times New Roman"/>
          <w:color w:val="auto"/>
          <w:kern w:val="44"/>
          <w:sz w:val="44"/>
          <w:szCs w:val="44"/>
          <w:lang w:val="zh-CN"/>
        </w:rPr>
        <w:t>第4章　合同条款及格式</w:t>
      </w:r>
      <w:bookmarkEnd w:id="146"/>
    </w:p>
    <w:p>
      <w:pPr>
        <w:tabs>
          <w:tab w:val="left" w:pos="0"/>
        </w:tabs>
        <w:autoSpaceDE w:val="0"/>
        <w:autoSpaceDN w:val="0"/>
        <w:adjustRightInd w:val="0"/>
        <w:jc w:val="center"/>
        <w:rPr>
          <w:rFonts w:ascii="宋体"/>
          <w:b/>
          <w:bCs/>
          <w:color w:val="auto"/>
          <w:kern w:val="0"/>
          <w:sz w:val="32"/>
          <w:szCs w:val="32"/>
        </w:rPr>
      </w:pPr>
      <w:bookmarkStart w:id="147" w:name="第04章合同条款及格式01"/>
      <w:bookmarkEnd w:id="147"/>
    </w:p>
    <w:p>
      <w:pPr>
        <w:tabs>
          <w:tab w:val="left" w:pos="0"/>
        </w:tabs>
        <w:autoSpaceDE w:val="0"/>
        <w:autoSpaceDN w:val="0"/>
        <w:adjustRightInd w:val="0"/>
        <w:jc w:val="center"/>
        <w:rPr>
          <w:rFonts w:ascii="宋体"/>
          <w:b/>
          <w:bCs/>
          <w:color w:val="auto"/>
          <w:kern w:val="0"/>
          <w:sz w:val="32"/>
          <w:szCs w:val="32"/>
        </w:rPr>
      </w:pPr>
      <w:r>
        <w:rPr>
          <w:rFonts w:hint="eastAsia" w:ascii="宋体"/>
          <w:b/>
          <w:bCs/>
          <w:color w:val="auto"/>
          <w:kern w:val="0"/>
          <w:sz w:val="32"/>
          <w:szCs w:val="32"/>
        </w:rPr>
        <w:t>工程合同</w:t>
      </w:r>
    </w:p>
    <w:p>
      <w:pPr>
        <w:autoSpaceDE w:val="0"/>
        <w:autoSpaceDN w:val="0"/>
        <w:adjustRightInd w:val="0"/>
        <w:spacing w:line="420" w:lineRule="exact"/>
        <w:jc w:val="center"/>
        <w:rPr>
          <w:rFonts w:ascii="宋体"/>
          <w:b/>
          <w:bCs/>
          <w:color w:val="auto"/>
          <w:kern w:val="0"/>
          <w:sz w:val="48"/>
          <w:szCs w:val="21"/>
        </w:rPr>
      </w:pPr>
    </w:p>
    <w:p>
      <w:pPr>
        <w:autoSpaceDE w:val="0"/>
        <w:autoSpaceDN w:val="0"/>
        <w:adjustRightInd w:val="0"/>
        <w:snapToGrid w:val="0"/>
        <w:spacing w:line="360" w:lineRule="auto"/>
        <w:jc w:val="left"/>
        <w:rPr>
          <w:rFonts w:ascii="宋体" w:hAnsi="宋体"/>
          <w:color w:val="auto"/>
          <w:kern w:val="0"/>
          <w:szCs w:val="21"/>
          <w:u w:val="single"/>
        </w:rPr>
      </w:pPr>
      <w:r>
        <w:rPr>
          <w:rFonts w:hint="eastAsia" w:ascii="宋体" w:hAnsi="宋体"/>
          <w:color w:val="auto"/>
          <w:kern w:val="0"/>
          <w:szCs w:val="21"/>
        </w:rPr>
        <w:t>采购方（甲方）</w:t>
      </w:r>
    </w:p>
    <w:p>
      <w:p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承包方（乙方）</w:t>
      </w:r>
    </w:p>
    <w:p>
      <w:p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根据《中华人民共和国民法典》及有关规定，</w:t>
      </w:r>
      <w:r>
        <w:rPr>
          <w:rFonts w:hint="eastAsia" w:ascii="宋体" w:hAnsi="宋体"/>
          <w:bCs/>
          <w:color w:val="auto"/>
          <w:kern w:val="0"/>
          <w:szCs w:val="21"/>
        </w:rPr>
        <w:t>遵循平等、自愿、公平和诚实信用的原则，合同双方当事人就合同工程施工有关事项达成一致意见，</w:t>
      </w:r>
      <w:r>
        <w:rPr>
          <w:rFonts w:hint="eastAsia" w:ascii="宋体" w:hAnsi="宋体"/>
          <w:color w:val="auto"/>
          <w:kern w:val="0"/>
          <w:szCs w:val="21"/>
        </w:rPr>
        <w:t>签订本合同。</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第一条  工程项目</w:t>
      </w:r>
    </w:p>
    <w:p>
      <w:pPr>
        <w:numPr>
          <w:ilvl w:val="0"/>
          <w:numId w:val="8"/>
        </w:numPr>
        <w:autoSpaceDE w:val="0"/>
        <w:autoSpaceDN w:val="0"/>
        <w:adjustRightInd w:val="0"/>
        <w:snapToGrid w:val="0"/>
        <w:spacing w:line="360" w:lineRule="auto"/>
        <w:jc w:val="left"/>
        <w:rPr>
          <w:rFonts w:ascii="宋体" w:hAnsi="宋体"/>
          <w:color w:val="auto"/>
          <w:kern w:val="0"/>
          <w:szCs w:val="21"/>
          <w:u w:val="single"/>
        </w:rPr>
      </w:pPr>
      <w:r>
        <w:rPr>
          <w:rFonts w:hint="eastAsia" w:ascii="宋体" w:hAnsi="宋体"/>
          <w:color w:val="auto"/>
          <w:kern w:val="0"/>
          <w:szCs w:val="21"/>
        </w:rPr>
        <w:t>工程名称：</w:t>
      </w:r>
    </w:p>
    <w:p>
      <w:pPr>
        <w:numPr>
          <w:ilvl w:val="0"/>
          <w:numId w:val="8"/>
        </w:numPr>
        <w:autoSpaceDE w:val="0"/>
        <w:autoSpaceDN w:val="0"/>
        <w:adjustRightInd w:val="0"/>
        <w:snapToGrid w:val="0"/>
        <w:spacing w:line="360" w:lineRule="auto"/>
        <w:jc w:val="left"/>
        <w:rPr>
          <w:rFonts w:ascii="宋体" w:hAnsi="宋体"/>
          <w:color w:val="auto"/>
          <w:kern w:val="0"/>
          <w:szCs w:val="21"/>
          <w:u w:val="single"/>
        </w:rPr>
      </w:pPr>
      <w:r>
        <w:rPr>
          <w:rFonts w:hint="eastAsia" w:ascii="宋体" w:hAnsi="宋体"/>
          <w:color w:val="auto"/>
          <w:kern w:val="0"/>
          <w:szCs w:val="21"/>
        </w:rPr>
        <w:t>工程地址：</w:t>
      </w:r>
    </w:p>
    <w:p>
      <w:pPr>
        <w:autoSpaceDE w:val="0"/>
        <w:autoSpaceDN w:val="0"/>
        <w:adjustRightInd w:val="0"/>
        <w:snapToGrid w:val="0"/>
        <w:spacing w:line="360" w:lineRule="auto"/>
        <w:ind w:left="480"/>
        <w:jc w:val="left"/>
        <w:rPr>
          <w:rFonts w:ascii="宋体" w:hAnsi="宋体"/>
          <w:color w:val="auto"/>
          <w:kern w:val="0"/>
          <w:szCs w:val="21"/>
        </w:rPr>
      </w:pPr>
      <w:r>
        <w:rPr>
          <w:rFonts w:hint="eastAsia" w:ascii="宋体" w:hAnsi="宋体"/>
          <w:color w:val="auto"/>
          <w:kern w:val="0"/>
          <w:szCs w:val="21"/>
        </w:rPr>
        <w:t xml:space="preserve">（三）工程内容： </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（四）承包方式：包工、包料、包机械、包工期、包质量、包安全生产、包文明施工、包劳保、包竣工验收、包保修、包各项材料检验检测、包税费、包保险等的承包方式。</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合同价款采用第种方式：</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1）固定总价包干：按成交确定的总价承包工程，明确承包内容和工程量，承包价固定不变。</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2）综合单价包干：根据成交确定的综合单价，工程量按实结算。</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（五）安装要求：</w:t>
      </w:r>
      <w:r>
        <w:rPr>
          <w:rFonts w:hint="eastAsia" w:ascii="宋体" w:hAnsi="宋体"/>
          <w:color w:val="auto"/>
          <w:kern w:val="0"/>
          <w:szCs w:val="21"/>
          <w:u w:val="single"/>
        </w:rPr>
        <w:t xml:space="preserve">   按现行         规范施工并验收。      </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b/>
          <w:color w:val="auto"/>
          <w:kern w:val="0"/>
          <w:szCs w:val="21"/>
        </w:rPr>
        <w:t>第二条 工程造价预算</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经审核的预算价（人民币）大写：小写：。</w:t>
      </w:r>
    </w:p>
    <w:p>
      <w:pPr>
        <w:widowControl/>
        <w:snapToGrid w:val="0"/>
        <w:spacing w:line="360" w:lineRule="auto"/>
        <w:ind w:firstLine="420" w:firstLineChars="200"/>
        <w:jc w:val="left"/>
        <w:rPr>
          <w:rFonts w:ascii="宋体" w:hAnsi="宋体"/>
          <w:b/>
          <w:color w:val="auto"/>
          <w:kern w:val="0"/>
          <w:szCs w:val="21"/>
        </w:rPr>
      </w:pPr>
      <w:r>
        <w:rPr>
          <w:rFonts w:hint="eastAsia" w:ascii="宋体" w:hAnsi="宋体"/>
          <w:color w:val="auto"/>
          <w:kern w:val="0"/>
          <w:szCs w:val="21"/>
        </w:rPr>
        <w:t>工程价款的结算须以甲方审定为准。</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b/>
          <w:color w:val="auto"/>
          <w:kern w:val="0"/>
          <w:szCs w:val="21"/>
        </w:rPr>
        <w:t>第三条  工期</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合同签订之日起个自然日内完成项目实施的各项工作，并通过竣工验收交付甲方使用。</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第四条  工程质量标准和保修期</w:t>
      </w:r>
    </w:p>
    <w:p>
      <w:pPr>
        <w:autoSpaceDE w:val="0"/>
        <w:autoSpaceDN w:val="0"/>
        <w:adjustRightInd w:val="0"/>
        <w:snapToGrid w:val="0"/>
        <w:spacing w:line="360" w:lineRule="auto"/>
        <w:ind w:left="239" w:leftChars="114" w:firstLine="210" w:firstLineChars="100"/>
        <w:jc w:val="left"/>
        <w:rPr>
          <w:rFonts w:ascii="宋体" w:hAnsi="宋体"/>
          <w:color w:val="auto"/>
          <w:kern w:val="0"/>
          <w:szCs w:val="21"/>
          <w:u w:val="single"/>
        </w:rPr>
      </w:pPr>
      <w:r>
        <w:rPr>
          <w:rFonts w:hint="eastAsia" w:ascii="宋体" w:hAnsi="宋体"/>
          <w:color w:val="auto"/>
          <w:kern w:val="0"/>
          <w:szCs w:val="21"/>
        </w:rPr>
        <w:t>（一）工程质量标准按国家及省、市现行验收规范执行。</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本工程项目按照《建设工程质量管理条例》规定，自竣工验收签字之日起计。保修期限内，在正常使用情况下，属乙方工程质量问题，由乙方负责；如属甲方使用不当或甲方所供设备的质量问题，可由乙方修理，费用由甲方承担。</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三）本工程自竣工之日起，在保质期内出现工程质量问题，乙方在接到甲方通知后小时内派人维修，否则甲方可委托其他单位或人员修整，属乙方责任的，费用由乙方承担，如给甲方造成损失的，乙方需进行赔偿，非乙方责任返修费用由甲方承担。</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ascii="宋体" w:hAnsi="宋体"/>
          <w:b/>
          <w:color w:val="auto"/>
          <w:kern w:val="0"/>
          <w:szCs w:val="21"/>
        </w:rPr>
        <w:t>第五条</w:t>
      </w:r>
      <w:r>
        <w:rPr>
          <w:rFonts w:hint="eastAsia" w:ascii="宋体" w:hAnsi="宋体"/>
          <w:b/>
          <w:color w:val="auto"/>
          <w:kern w:val="0"/>
          <w:szCs w:val="21"/>
        </w:rPr>
        <w:t>材料设备供应</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（一）工程所需属乙方提供的材料和设备由乙方负责购进并送至施工现场。</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（二）材料设备需附有合格证明。如一方对材料设备有异议，需进行检验。如检验合格，检验费由持有异议一方承担，否则由材料采购方承担。工程料设备差价的处理办法不作差价调整。</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第六条  工程款支付和结算</w:t>
      </w:r>
    </w:p>
    <w:p>
      <w:pPr>
        <w:autoSpaceDE w:val="0"/>
        <w:autoSpaceDN w:val="0"/>
        <w:adjustRightInd w:val="0"/>
        <w:snapToGrid w:val="0"/>
        <w:spacing w:line="360" w:lineRule="auto"/>
        <w:ind w:firstLine="750"/>
        <w:jc w:val="left"/>
        <w:rPr>
          <w:rFonts w:ascii="宋体" w:hAnsi="宋体"/>
          <w:color w:val="auto"/>
          <w:kern w:val="0"/>
          <w:szCs w:val="21"/>
        </w:rPr>
      </w:pPr>
      <w:r>
        <w:rPr>
          <w:rFonts w:hint="eastAsia" w:ascii="宋体" w:hAnsi="宋体"/>
          <w:color w:val="auto"/>
          <w:kern w:val="0"/>
          <w:szCs w:val="21"/>
        </w:rPr>
        <w:t>根据国家有关规定，甲方将工程款划入乙方账户或开具支票，乙方不得将工程款另作他用。</w:t>
      </w:r>
    </w:p>
    <w:p>
      <w:pPr>
        <w:numPr>
          <w:ilvl w:val="0"/>
          <w:numId w:val="9"/>
        </w:numPr>
        <w:tabs>
          <w:tab w:val="left" w:pos="742"/>
        </w:tabs>
        <w:autoSpaceDE w:val="0"/>
        <w:autoSpaceDN w:val="0"/>
        <w:adjustRightInd w:val="0"/>
        <w:snapToGrid w:val="0"/>
        <w:spacing w:line="360" w:lineRule="auto"/>
        <w:ind w:left="993"/>
        <w:jc w:val="left"/>
        <w:rPr>
          <w:rFonts w:ascii="宋体" w:hAnsi="宋体" w:cs="宋体"/>
          <w:color w:val="auto"/>
          <w:szCs w:val="21"/>
        </w:rPr>
      </w:pPr>
      <w:r>
        <w:rPr>
          <w:rFonts w:hint="eastAsia" w:ascii="宋体" w:hAnsi="宋体" w:cs="宋体"/>
          <w:color w:val="auto"/>
          <w:szCs w:val="21"/>
        </w:rPr>
        <w:t>合同款支付：</w:t>
      </w:r>
    </w:p>
    <w:p>
      <w:pPr>
        <w:numPr>
          <w:ilvl w:val="0"/>
          <w:numId w:val="10"/>
        </w:numPr>
        <w:autoSpaceDE w:val="0"/>
        <w:autoSpaceDN w:val="0"/>
        <w:adjustRightInd w:val="0"/>
        <w:snapToGrid w:val="0"/>
        <w:spacing w:line="360" w:lineRule="auto"/>
        <w:ind w:left="1" w:firstLine="369" w:firstLineChars="176"/>
        <w:jc w:val="left"/>
        <w:rPr>
          <w:rFonts w:ascii="宋体" w:hAnsi="宋体"/>
          <w:color w:val="auto"/>
          <w:kern w:val="0"/>
          <w:szCs w:val="21"/>
        </w:rPr>
      </w:pPr>
      <w:r>
        <w:rPr>
          <w:rFonts w:hint="eastAsia" w:ascii="宋体" w:hAnsi="宋体"/>
          <w:b/>
          <w:bCs/>
          <w:color w:val="auto"/>
          <w:kern w:val="0"/>
          <w:szCs w:val="21"/>
        </w:rPr>
        <w:t>工程预付款：</w:t>
      </w:r>
      <w:r>
        <w:rPr>
          <w:rFonts w:hint="eastAsia" w:ascii="宋体" w:hAnsi="宋体"/>
          <w:bCs/>
          <w:color w:val="auto"/>
          <w:kern w:val="0"/>
          <w:szCs w:val="21"/>
        </w:rPr>
        <w:t>合同签订后</w:t>
      </w:r>
      <w:r>
        <w:rPr>
          <w:rFonts w:hint="eastAsia" w:ascii="宋体" w:hAnsi="宋体"/>
          <w:bCs/>
          <w:color w:val="auto"/>
          <w:kern w:val="0"/>
          <w:szCs w:val="21"/>
          <w:u w:val="single"/>
        </w:rPr>
        <w:t>7</w:t>
      </w:r>
      <w:r>
        <w:rPr>
          <w:rFonts w:hint="eastAsia" w:ascii="宋体" w:hAnsi="宋体"/>
          <w:bCs/>
          <w:color w:val="auto"/>
          <w:kern w:val="0"/>
          <w:szCs w:val="21"/>
        </w:rPr>
        <w:t>天内，甲方收到乙方提供的等额</w:t>
      </w:r>
      <w:r>
        <w:rPr>
          <w:rFonts w:ascii="宋体" w:hAnsi="宋体" w:cs="宋体"/>
          <w:color w:val="auto"/>
          <w:szCs w:val="21"/>
        </w:rPr>
        <w:t>发票</w:t>
      </w:r>
      <w:r>
        <w:rPr>
          <w:rFonts w:hint="eastAsia" w:ascii="宋体" w:hAnsi="宋体" w:cs="宋体"/>
          <w:color w:val="auto"/>
          <w:szCs w:val="21"/>
        </w:rPr>
        <w:t>凭证资料后</w:t>
      </w:r>
      <w:r>
        <w:rPr>
          <w:rFonts w:hint="eastAsia" w:ascii="宋体" w:hAnsi="宋体" w:cs="宋体"/>
          <w:color w:val="auto"/>
          <w:szCs w:val="21"/>
          <w:u w:val="single"/>
        </w:rPr>
        <w:t>7</w:t>
      </w:r>
      <w:r>
        <w:rPr>
          <w:rFonts w:hint="eastAsia" w:ascii="宋体" w:hAnsi="宋体"/>
          <w:bCs/>
          <w:color w:val="auto"/>
          <w:kern w:val="0"/>
          <w:szCs w:val="21"/>
        </w:rPr>
        <w:t>天内向乙方支付合同总价的</w:t>
      </w:r>
      <w:r>
        <w:rPr>
          <w:rFonts w:hint="eastAsia" w:ascii="宋体" w:hAnsi="宋体"/>
          <w:bCs/>
          <w:color w:val="auto"/>
          <w:kern w:val="0"/>
          <w:szCs w:val="21"/>
          <w:u w:val="single"/>
        </w:rPr>
        <w:t>30</w:t>
      </w:r>
      <w:r>
        <w:rPr>
          <w:rFonts w:hint="eastAsia" w:ascii="宋体" w:hAnsi="宋体"/>
          <w:bCs/>
          <w:color w:val="auto"/>
          <w:kern w:val="0"/>
          <w:szCs w:val="21"/>
        </w:rPr>
        <w:t>%。</w:t>
      </w:r>
    </w:p>
    <w:p>
      <w:pPr>
        <w:numPr>
          <w:ilvl w:val="0"/>
          <w:numId w:val="10"/>
        </w:numPr>
        <w:autoSpaceDE w:val="0"/>
        <w:autoSpaceDN w:val="0"/>
        <w:adjustRightInd w:val="0"/>
        <w:snapToGrid w:val="0"/>
        <w:spacing w:line="360" w:lineRule="auto"/>
        <w:ind w:left="1" w:firstLine="369" w:firstLineChars="176"/>
        <w:jc w:val="left"/>
        <w:rPr>
          <w:rFonts w:ascii="宋体" w:hAnsi="宋体"/>
          <w:bCs/>
          <w:color w:val="auto"/>
          <w:kern w:val="0"/>
          <w:szCs w:val="21"/>
        </w:rPr>
      </w:pPr>
      <w:r>
        <w:rPr>
          <w:rFonts w:hint="eastAsia" w:ascii="宋体" w:hAnsi="宋体"/>
          <w:b/>
          <w:bCs/>
          <w:color w:val="auto"/>
          <w:kern w:val="0"/>
          <w:szCs w:val="21"/>
        </w:rPr>
        <w:t>工程进度款</w:t>
      </w:r>
      <w:r>
        <w:rPr>
          <w:rFonts w:hint="eastAsia" w:ascii="宋体" w:hAnsi="宋体"/>
          <w:bCs/>
          <w:color w:val="auto"/>
          <w:kern w:val="0"/>
          <w:szCs w:val="21"/>
        </w:rPr>
        <w:t>：当工程进度达到</w:t>
      </w:r>
      <w:r>
        <w:rPr>
          <w:rFonts w:hint="eastAsia" w:ascii="宋体" w:hAnsi="宋体"/>
          <w:bCs/>
          <w:color w:val="auto"/>
          <w:kern w:val="0"/>
          <w:szCs w:val="21"/>
        </w:rPr>
        <w:t>80%</w:t>
      </w:r>
      <w:r>
        <w:rPr>
          <w:rFonts w:hint="eastAsia" w:ascii="宋体" w:hAnsi="宋体"/>
          <w:bCs/>
          <w:color w:val="auto"/>
          <w:kern w:val="0"/>
          <w:szCs w:val="21"/>
        </w:rPr>
        <w:t>时，经双方确认工程进度款结算金额之日起</w:t>
      </w:r>
      <w:r>
        <w:rPr>
          <w:rFonts w:hint="eastAsia" w:ascii="宋体" w:hAnsi="宋体" w:cs="宋体"/>
          <w:color w:val="auto"/>
          <w:kern w:val="0"/>
          <w:szCs w:val="21"/>
          <w:u w:val="single"/>
        </w:rPr>
        <w:t>7</w:t>
      </w:r>
      <w:r>
        <w:rPr>
          <w:rFonts w:hint="eastAsia" w:ascii="宋体" w:hAnsi="宋体"/>
          <w:bCs/>
          <w:color w:val="auto"/>
          <w:kern w:val="0"/>
          <w:szCs w:val="21"/>
        </w:rPr>
        <w:t>天内，且甲方</w:t>
      </w:r>
      <w:r>
        <w:rPr>
          <w:rFonts w:hint="eastAsia" w:ascii="宋体" w:hAnsi="宋体" w:cs="宋体"/>
          <w:color w:val="auto"/>
          <w:szCs w:val="21"/>
        </w:rPr>
        <w:t>在收到</w:t>
      </w:r>
      <w:r>
        <w:rPr>
          <w:rFonts w:ascii="宋体" w:hAnsi="宋体" w:cs="宋体"/>
          <w:color w:val="auto"/>
          <w:szCs w:val="21"/>
        </w:rPr>
        <w:t>发票</w:t>
      </w:r>
      <w:r>
        <w:rPr>
          <w:rFonts w:hint="eastAsia" w:ascii="宋体" w:hAnsi="宋体" w:cs="宋体"/>
          <w:color w:val="auto"/>
          <w:szCs w:val="21"/>
        </w:rPr>
        <w:t>凭证资料后</w:t>
      </w:r>
      <w:r>
        <w:rPr>
          <w:rFonts w:hint="eastAsia" w:ascii="宋体" w:hAnsi="宋体"/>
          <w:bCs/>
          <w:color w:val="auto"/>
          <w:kern w:val="0"/>
          <w:szCs w:val="21"/>
        </w:rPr>
        <w:t>向乙方支付到合同总价的</w:t>
      </w:r>
      <w:r>
        <w:rPr>
          <w:rFonts w:hint="eastAsia" w:ascii="宋体" w:hAnsi="宋体"/>
          <w:bCs/>
          <w:color w:val="auto"/>
          <w:kern w:val="0"/>
          <w:szCs w:val="21"/>
        </w:rPr>
        <w:t>50%</w:t>
      </w:r>
      <w:r>
        <w:rPr>
          <w:rFonts w:hint="eastAsia" w:ascii="宋体" w:hAnsi="宋体"/>
          <w:bCs/>
          <w:color w:val="auto"/>
          <w:kern w:val="0"/>
          <w:szCs w:val="21"/>
        </w:rPr>
        <w:t>。</w:t>
      </w:r>
    </w:p>
    <w:p>
      <w:pPr>
        <w:numPr>
          <w:ilvl w:val="0"/>
          <w:numId w:val="10"/>
        </w:numPr>
        <w:autoSpaceDE w:val="0"/>
        <w:autoSpaceDN w:val="0"/>
        <w:adjustRightInd w:val="0"/>
        <w:snapToGrid w:val="0"/>
        <w:spacing w:line="360" w:lineRule="auto"/>
        <w:ind w:left="1" w:firstLine="369" w:firstLineChars="176"/>
        <w:jc w:val="left"/>
        <w:rPr>
          <w:rFonts w:ascii="宋体" w:hAnsi="宋体"/>
          <w:bCs/>
          <w:color w:val="auto"/>
          <w:kern w:val="0"/>
          <w:szCs w:val="21"/>
        </w:rPr>
      </w:pPr>
      <w:r>
        <w:rPr>
          <w:rFonts w:hint="eastAsia" w:ascii="宋体" w:hAnsi="宋体"/>
          <w:b/>
          <w:bCs/>
          <w:color w:val="auto"/>
          <w:kern w:val="0"/>
          <w:szCs w:val="21"/>
        </w:rPr>
        <w:t>工程结算款</w:t>
      </w:r>
      <w:r>
        <w:rPr>
          <w:rFonts w:hint="eastAsia" w:ascii="宋体" w:hAnsi="宋体"/>
          <w:bCs/>
          <w:color w:val="auto"/>
          <w:kern w:val="0"/>
          <w:szCs w:val="21"/>
        </w:rPr>
        <w:t>：工程竣工验收合格后</w:t>
      </w:r>
      <w:r>
        <w:rPr>
          <w:rFonts w:hint="eastAsia" w:ascii="宋体" w:hAnsi="宋体" w:cs="宋体"/>
          <w:color w:val="auto"/>
          <w:szCs w:val="21"/>
        </w:rPr>
        <w:t>，</w:t>
      </w:r>
      <w:r>
        <w:rPr>
          <w:rFonts w:hint="eastAsia" w:ascii="宋体" w:hAnsi="宋体" w:cs="宋体"/>
          <w:color w:val="auto"/>
          <w:kern w:val="0"/>
          <w:szCs w:val="21"/>
        </w:rPr>
        <w:t>甲方自验收合格之日起</w:t>
      </w:r>
      <w:r>
        <w:rPr>
          <w:rFonts w:hint="eastAsia" w:ascii="宋体" w:hAnsi="宋体" w:cs="宋体"/>
          <w:color w:val="auto"/>
          <w:kern w:val="0"/>
          <w:szCs w:val="21"/>
          <w:u w:val="single"/>
        </w:rPr>
        <w:t>7</w:t>
      </w:r>
      <w:r>
        <w:rPr>
          <w:rFonts w:hint="eastAsia" w:ascii="宋体" w:hAnsi="宋体" w:cs="宋体"/>
          <w:color w:val="auto"/>
          <w:kern w:val="0"/>
          <w:szCs w:val="21"/>
        </w:rPr>
        <w:t>天内，且</w:t>
      </w:r>
      <w:r>
        <w:rPr>
          <w:rFonts w:hint="eastAsia" w:ascii="宋体" w:hAnsi="宋体" w:cs="宋体"/>
          <w:color w:val="auto"/>
          <w:szCs w:val="21"/>
        </w:rPr>
        <w:t>乙方提供工程结算价</w:t>
      </w:r>
      <w:r>
        <w:rPr>
          <w:rFonts w:hint="eastAsia" w:ascii="宋体" w:hAnsi="宋体" w:cs="宋体"/>
          <w:color w:val="auto"/>
          <w:szCs w:val="21"/>
          <w:u w:val="single"/>
        </w:rPr>
        <w:t>3%</w:t>
      </w:r>
      <w:r>
        <w:rPr>
          <w:rFonts w:hint="eastAsia" w:ascii="宋体" w:hAnsi="宋体" w:cs="宋体"/>
          <w:color w:val="auto"/>
          <w:szCs w:val="21"/>
        </w:rPr>
        <w:t>金额的银行保函或款项作为质量保证金,</w:t>
      </w:r>
      <w:r>
        <w:rPr>
          <w:rFonts w:ascii="宋体" w:hAnsi="宋体" w:cs="宋体"/>
          <w:color w:val="auto"/>
          <w:kern w:val="0"/>
          <w:szCs w:val="21"/>
        </w:rPr>
        <w:t>以及提供</w:t>
      </w:r>
      <w:r>
        <w:rPr>
          <w:rFonts w:ascii="宋体" w:hAnsi="宋体" w:cs="宋体"/>
          <w:color w:val="auto"/>
          <w:szCs w:val="21"/>
        </w:rPr>
        <w:t>发票</w:t>
      </w:r>
      <w:r>
        <w:rPr>
          <w:rFonts w:hint="eastAsia" w:ascii="宋体" w:hAnsi="宋体" w:cs="宋体"/>
          <w:color w:val="auto"/>
          <w:szCs w:val="21"/>
        </w:rPr>
        <w:t>凭证资料</w:t>
      </w:r>
      <w:r>
        <w:rPr>
          <w:rFonts w:hint="eastAsia" w:ascii="宋体" w:hAnsi="宋体"/>
          <w:bCs/>
          <w:color w:val="auto"/>
          <w:kern w:val="0"/>
          <w:szCs w:val="21"/>
        </w:rPr>
        <w:t>后，</w:t>
      </w:r>
      <w:r>
        <w:rPr>
          <w:rFonts w:hint="eastAsia" w:ascii="宋体" w:hAnsi="宋体" w:cs="宋体"/>
          <w:color w:val="auto"/>
          <w:szCs w:val="21"/>
        </w:rPr>
        <w:t>按工程结算价支付剩余工程款</w:t>
      </w:r>
      <w:r>
        <w:rPr>
          <w:rFonts w:hint="eastAsia" w:ascii="宋体" w:hAnsi="宋体"/>
          <w:bCs/>
          <w:color w:val="auto"/>
          <w:kern w:val="0"/>
          <w:szCs w:val="21"/>
        </w:rPr>
        <w:t>。</w:t>
      </w:r>
    </w:p>
    <w:p>
      <w:pPr>
        <w:numPr>
          <w:ilvl w:val="0"/>
          <w:numId w:val="10"/>
        </w:numPr>
        <w:autoSpaceDE w:val="0"/>
        <w:autoSpaceDN w:val="0"/>
        <w:adjustRightInd w:val="0"/>
        <w:snapToGrid w:val="0"/>
        <w:spacing w:line="360" w:lineRule="auto"/>
        <w:ind w:left="1" w:firstLine="369" w:firstLineChars="176"/>
        <w:jc w:val="left"/>
        <w:rPr>
          <w:rFonts w:ascii="宋体" w:hAnsi="宋体" w:cs="宋体"/>
          <w:color w:val="auto"/>
          <w:szCs w:val="21"/>
        </w:rPr>
      </w:pPr>
      <w:r>
        <w:rPr>
          <w:rFonts w:hint="eastAsia" w:ascii="宋体" w:hAnsi="宋体" w:cs="宋体"/>
          <w:color w:val="auto"/>
          <w:szCs w:val="21"/>
        </w:rPr>
        <w:t>每次</w:t>
      </w:r>
      <w:r>
        <w:rPr>
          <w:rFonts w:hint="eastAsia" w:ascii="宋体" w:hAnsi="宋体" w:cs="宋体"/>
          <w:color w:val="auto"/>
          <w:szCs w:val="21"/>
          <w:lang w:eastAsia="zh-TW"/>
        </w:rPr>
        <w:t>按合同支付款项前，乙方</w:t>
      </w:r>
      <w:r>
        <w:rPr>
          <w:rFonts w:hint="eastAsia" w:ascii="宋体" w:hAnsi="宋体" w:cs="宋体"/>
          <w:color w:val="auto"/>
          <w:szCs w:val="21"/>
        </w:rPr>
        <w:t>应</w:t>
      </w:r>
      <w:r>
        <w:rPr>
          <w:rFonts w:hint="eastAsia" w:ascii="宋体" w:hAnsi="宋体" w:cs="宋体"/>
          <w:color w:val="auto"/>
          <w:szCs w:val="21"/>
          <w:lang w:eastAsia="zh-TW"/>
        </w:rPr>
        <w:t>向甲方提供与支付金额相符的</w:t>
      </w:r>
      <w:r>
        <w:rPr>
          <w:rFonts w:ascii="宋体" w:hAnsi="宋体" w:cs="宋体"/>
          <w:color w:val="auto"/>
          <w:szCs w:val="21"/>
          <w:lang w:eastAsia="zh-TW"/>
        </w:rPr>
        <w:t>合法有效完整的完税发票及凭证资料</w:t>
      </w:r>
      <w:r>
        <w:rPr>
          <w:rFonts w:hint="eastAsia" w:ascii="宋体" w:hAnsi="宋体" w:cs="宋体"/>
          <w:color w:val="auto"/>
          <w:szCs w:val="21"/>
          <w:lang w:eastAsia="zh-TW"/>
        </w:rPr>
        <w:t>，且收款方、出具发票方、合同乙方均必须与成交供应商名称一致；</w:t>
      </w:r>
    </w:p>
    <w:p>
      <w:pPr>
        <w:numPr>
          <w:ilvl w:val="0"/>
          <w:numId w:val="10"/>
        </w:numPr>
        <w:autoSpaceDE w:val="0"/>
        <w:autoSpaceDN w:val="0"/>
        <w:adjustRightInd w:val="0"/>
        <w:snapToGrid w:val="0"/>
        <w:spacing w:line="360" w:lineRule="auto"/>
        <w:ind w:left="1" w:firstLine="369" w:firstLineChars="176"/>
        <w:jc w:val="left"/>
        <w:rPr>
          <w:rFonts w:ascii="宋体" w:hAnsi="宋体" w:cs="宋体"/>
          <w:color w:val="auto"/>
          <w:szCs w:val="21"/>
        </w:rPr>
      </w:pPr>
      <w:r>
        <w:rPr>
          <w:rFonts w:hint="eastAsia" w:ascii="宋体" w:hAnsi="宋体" w:cs="宋体"/>
          <w:color w:val="auto"/>
          <w:szCs w:val="21"/>
        </w:rPr>
        <w:t>违约责任：</w:t>
      </w:r>
      <w:r>
        <w:rPr>
          <w:rFonts w:hint="eastAsia" w:ascii="宋体" w:hAnsi="宋体" w:cs="宋体"/>
          <w:color w:val="auto"/>
          <w:szCs w:val="21"/>
          <w:lang w:eastAsia="zh-TW"/>
        </w:rPr>
        <w:t>甲方逾期</w:t>
      </w:r>
      <w:r>
        <w:rPr>
          <w:rFonts w:hint="eastAsia" w:ascii="宋体" w:hAnsi="宋体" w:cs="宋体"/>
          <w:color w:val="auto"/>
          <w:szCs w:val="21"/>
        </w:rPr>
        <w:t>支付合同款项</w:t>
      </w:r>
      <w:r>
        <w:rPr>
          <w:rFonts w:hint="eastAsia" w:ascii="宋体" w:hAnsi="宋体" w:cs="宋体"/>
          <w:color w:val="auto"/>
          <w:szCs w:val="21"/>
          <w:lang w:eastAsia="zh-TW"/>
        </w:rPr>
        <w:t>的，除应当</w:t>
      </w:r>
      <w:r>
        <w:rPr>
          <w:rFonts w:hint="eastAsia" w:ascii="宋体" w:hAnsi="宋体" w:cs="宋体"/>
          <w:color w:val="auto"/>
          <w:szCs w:val="21"/>
        </w:rPr>
        <w:t>支付合同款项</w:t>
      </w:r>
      <w:r>
        <w:rPr>
          <w:rFonts w:hint="eastAsia" w:ascii="宋体" w:hAnsi="宋体" w:cs="宋体"/>
          <w:color w:val="auto"/>
          <w:szCs w:val="21"/>
          <w:lang w:eastAsia="zh-TW"/>
        </w:rPr>
        <w:t>外，</w:t>
      </w:r>
      <w:r>
        <w:rPr>
          <w:rFonts w:hint="eastAsia" w:ascii="宋体" w:hAnsi="宋体" w:cs="宋体"/>
          <w:color w:val="auto"/>
          <w:kern w:val="0"/>
          <w:szCs w:val="21"/>
          <w:lang w:eastAsia="zh-TW"/>
        </w:rPr>
        <w:t>还应当每日按合同总价的3‰向乙方偿付违约金</w:t>
      </w:r>
      <w:r>
        <w:rPr>
          <w:rFonts w:hint="eastAsia" w:ascii="宋体" w:hAnsi="宋体" w:cs="宋体"/>
          <w:color w:val="auto"/>
          <w:szCs w:val="21"/>
          <w:lang w:eastAsia="zh-TW"/>
        </w:rPr>
        <w:t>，但因乙方自身原因导致无法及时</w:t>
      </w:r>
      <w:r>
        <w:rPr>
          <w:rFonts w:hint="eastAsia" w:ascii="宋体" w:hAnsi="宋体" w:cs="宋体"/>
          <w:color w:val="auto"/>
          <w:szCs w:val="21"/>
        </w:rPr>
        <w:t>支付</w:t>
      </w:r>
      <w:r>
        <w:rPr>
          <w:rFonts w:hint="eastAsia" w:ascii="宋体" w:hAnsi="宋体" w:cs="宋体"/>
          <w:color w:val="auto"/>
          <w:szCs w:val="21"/>
          <w:lang w:eastAsia="zh-TW"/>
        </w:rPr>
        <w:t>的除外</w:t>
      </w:r>
      <w:r>
        <w:rPr>
          <w:rFonts w:hint="eastAsia" w:ascii="宋体" w:hAnsi="宋体" w:cs="宋体"/>
          <w:color w:val="auto"/>
          <w:szCs w:val="21"/>
        </w:rPr>
        <w:t>。</w:t>
      </w:r>
    </w:p>
    <w:p>
      <w:pPr>
        <w:numPr>
          <w:ilvl w:val="0"/>
          <w:numId w:val="10"/>
        </w:numPr>
        <w:autoSpaceDE w:val="0"/>
        <w:autoSpaceDN w:val="0"/>
        <w:adjustRightInd w:val="0"/>
        <w:snapToGrid w:val="0"/>
        <w:spacing w:line="360" w:lineRule="auto"/>
        <w:ind w:left="1" w:firstLine="369" w:firstLineChars="176"/>
        <w:jc w:val="left"/>
        <w:rPr>
          <w:rFonts w:ascii="宋体" w:hAnsi="宋体"/>
          <w:b/>
          <w:color w:val="auto"/>
          <w:kern w:val="0"/>
          <w:szCs w:val="21"/>
        </w:rPr>
      </w:pPr>
      <w:r>
        <w:rPr>
          <w:rFonts w:hint="eastAsia" w:ascii="宋体" w:hAnsi="宋体" w:cs="宋体"/>
          <w:color w:val="auto"/>
          <w:szCs w:val="21"/>
        </w:rPr>
        <w:t>付款</w:t>
      </w:r>
      <w:r>
        <w:rPr>
          <w:rFonts w:hint="eastAsia" w:hAnsi="宋体" w:cs="宋体"/>
          <w:color w:val="auto"/>
          <w:szCs w:val="21"/>
        </w:rPr>
        <w:t>方式：采用支票、银行汇票、电汇三种形式。</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第七条  双方责任</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（一）甲方责任  </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（1）甲方带乙方至现场办好进场手续。</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（2）开工前天完成由甲、乙双方参加的施工图会审。提供施工用水、电、材料、工具堆放场所。</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甲方委派为现场管理代表，监督检查工程质量、进度、负责设计图纸的变更、工程质量验收及其他事宜，组织对工程竣工验收和办理竣工结算。对乙方在施工中发现设计错误提出的意见，甲方在收到书面通知后天内会同设计方进行处理。</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（4）如需变更已施工的工程，甲方应以书面通知乙方，如现场临时变更，应在__天内补办并签认。</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（5）协调施工现场有关部门，提供施工上的方便和材料设备堆放场所。</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 xml:space="preserve">（二）乙方责任  </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（1）开工前完成施工方案的施工图会审及现场交底工作，编造施工组织设计和材料、设备进场计划并送甲方审定。</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（2）确定项目负责人，乙方委派为现场管理代表，严格按照施工图与说明书以及施工技术规范和操作规程保证质量进行施工。遵守甲方相关现场管理规定。该人员必须在施工期间每天到场实施工程监督和协调。</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（3）对工程质量、安全、环保、文明施工进行现场管理和控制。</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（4）按施工安全规范做好施工质量、安全管理，指定安全、防火负责人，物件堆放整齐，道路畅通，处理好与周围单位的关系。</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（5）负责施工所需的工具、设备、机械运输，设置安全设施标志。</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（6）严格按照施工方案、施工图与说明书以及施工技术规范和操作规程进行施工，接受甲方和质监部门的监督。</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（7）凡施工期间发生的施工质量、安全事故均由乙方负责。</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（8）如工程上存在问题，经相关部门确认后，须即采取措施纠正，否则甲方有权采取措施直至终止合同。</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（9）施工中如发现设计错误或严重不合理时，即以书面通知甲方。做好施工原始记录，按时向甲方报送进度和完工报表。</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（10）工程竣工移交资料、附件及备用件。竣工后的施工和生活设施拆除。验收后天内施工人员撤离。</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（11）未经甲方同意不得随意拆改原建筑物结构及各种管线、设备并对本工程的材料、产品作验收移交前的保护。</w:t>
      </w:r>
    </w:p>
    <w:p>
      <w:pPr>
        <w:autoSpaceDE w:val="0"/>
        <w:autoSpaceDN w:val="0"/>
        <w:adjustRightInd w:val="0"/>
        <w:snapToGrid w:val="0"/>
        <w:spacing w:line="360" w:lineRule="auto"/>
        <w:ind w:firstLine="417" w:firstLineChars="199"/>
        <w:jc w:val="left"/>
        <w:rPr>
          <w:rFonts w:ascii="宋体" w:hAnsi="宋体"/>
          <w:color w:val="auto"/>
          <w:kern w:val="0"/>
          <w:szCs w:val="21"/>
        </w:rPr>
      </w:pPr>
      <w:r>
        <w:rPr>
          <w:rFonts w:hint="eastAsia" w:ascii="宋体" w:hAnsi="宋体"/>
          <w:color w:val="auto"/>
          <w:kern w:val="0"/>
          <w:szCs w:val="21"/>
        </w:rPr>
        <w:t>（12）工程中的拆除物，经甲方认定，无价值的由乙方按有关规定清理，存在价值的，交由甲方处理或按甲方要求进行处理。</w:t>
      </w:r>
    </w:p>
    <w:p>
      <w:pPr>
        <w:autoSpaceDE w:val="0"/>
        <w:autoSpaceDN w:val="0"/>
        <w:adjustRightInd w:val="0"/>
        <w:snapToGrid w:val="0"/>
        <w:spacing w:line="360" w:lineRule="auto"/>
        <w:ind w:firstLine="480"/>
        <w:jc w:val="left"/>
        <w:rPr>
          <w:rFonts w:ascii="宋体" w:hAnsi="宋体"/>
          <w:color w:val="auto"/>
          <w:kern w:val="0"/>
          <w:szCs w:val="21"/>
        </w:rPr>
      </w:pPr>
      <w:r>
        <w:rPr>
          <w:rFonts w:hint="eastAsia" w:ascii="宋体" w:hAnsi="宋体"/>
          <w:color w:val="auto"/>
          <w:kern w:val="0"/>
          <w:szCs w:val="21"/>
        </w:rPr>
        <w:t>（13）乙方须派报价文件报备的项目经理来施工现场履行项目经理职责，未经甲方同意不得随意更换。</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 xml:space="preserve">第八条  工程验收  </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甲方接到成交供应商通知后</w:t>
      </w:r>
      <w:r>
        <w:rPr>
          <w:rFonts w:hint="eastAsia" w:ascii="宋体" w:hAnsi="宋体" w:cs="宋体"/>
          <w:color w:val="auto"/>
          <w:kern w:val="0"/>
          <w:szCs w:val="21"/>
          <w:u w:val="single"/>
        </w:rPr>
        <w:t>（填写验收期限）</w:t>
      </w:r>
      <w:r>
        <w:rPr>
          <w:rFonts w:hint="eastAsia" w:ascii="宋体" w:hAnsi="宋体"/>
          <w:color w:val="auto"/>
          <w:kern w:val="0"/>
          <w:szCs w:val="21"/>
        </w:rPr>
        <w:t>天内组织验收。</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甲乙双方以施工图纸及说明书、图纸会审记录、有关变更的书面文件，国家施工验收规范和质量检验标准为依据进行验收。隐蔽工程在乙方自检后填制记录表，待甲方检查。甲方接通知后天内到场验收，经检验合格由双方签字确认进行下一工序的施工。如甲方不按时验收，乙方自检确认合格后可隐蔽，甲、乙方应予承认。若事后甲方提出复查，费用由甲方承担。复查结果不合格，返修费由乙方承担，工期顺延。工程竣工前天，由乙方通知甲方组织有关人员验收。甲方应在接通知天内组织验收。工程内容及质量符合要求的，双方签字确认，同时乙方将全部资料移交给甲方套。如质量不合格，乙方在限期内返修后进行验收，直至合格，由此发生的费用由乙方承担。验收合格日为竣工日期。工程未经验收，甲方提前使用或擅自动用而发生损坏，由此发生的质量或其他问题由甲方负责。工程竣工后，由乙方提供经乙方签章的竣工图。</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第九条  违约责任</w:t>
      </w:r>
    </w:p>
    <w:p>
      <w:pPr>
        <w:autoSpaceDE w:val="0"/>
        <w:autoSpaceDN w:val="0"/>
        <w:adjustRightInd w:val="0"/>
        <w:snapToGrid w:val="0"/>
        <w:spacing w:line="360" w:lineRule="auto"/>
        <w:ind w:firstLine="480"/>
        <w:jc w:val="left"/>
        <w:rPr>
          <w:rFonts w:ascii="宋体" w:hAnsi="宋体"/>
          <w:color w:val="auto"/>
          <w:kern w:val="0"/>
          <w:szCs w:val="21"/>
        </w:rPr>
      </w:pPr>
      <w:r>
        <w:rPr>
          <w:rFonts w:hint="eastAsia" w:ascii="宋体" w:hAnsi="宋体"/>
          <w:color w:val="auto"/>
          <w:kern w:val="0"/>
          <w:szCs w:val="21"/>
        </w:rPr>
        <w:t>（一）任何一方中止合同，按工程造价的</w:t>
      </w:r>
      <w:r>
        <w:rPr>
          <w:rFonts w:hint="eastAsia" w:ascii="宋体" w:hAnsi="宋体"/>
          <w:color w:val="auto"/>
          <w:kern w:val="0"/>
          <w:szCs w:val="21"/>
          <w:u w:val="single"/>
        </w:rPr>
        <w:t xml:space="preserve">__ </w:t>
      </w:r>
      <w:r>
        <w:rPr>
          <w:rFonts w:hint="eastAsia" w:ascii="宋体" w:hAnsi="宋体"/>
          <w:color w:val="auto"/>
          <w:kern w:val="0"/>
          <w:szCs w:val="21"/>
        </w:rPr>
        <w:t>%向对方偿付违约金。但如果一方严重违反合同，并在收到对方违约通知书后在天内仍未能改正违约的，另一方可立即终止本合同。</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（二）甲方未能履行合同，出现以下情形的，其损失由甲方承担，工期顺延。（1）不按期支付工程款；（2）因设计变更，使已完成的工程拆改；（3）逾期验收；（4）其他甲方原因造成的。</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（三）乙方责任造成的停工、返工，材料、器材损失均由乙方承担。逾期竣工，从逾期次日起，每逾期一天，按</w:t>
      </w:r>
      <w:r>
        <w:rPr>
          <w:rFonts w:hint="eastAsia" w:ascii="宋体" w:hAnsi="宋体"/>
          <w:color w:val="auto"/>
          <w:kern w:val="0"/>
          <w:szCs w:val="21"/>
          <w:u w:val="single"/>
        </w:rPr>
        <w:t>__</w:t>
      </w:r>
      <w:r>
        <w:rPr>
          <w:rFonts w:hint="eastAsia" w:ascii="宋体" w:hAnsi="宋体"/>
          <w:color w:val="auto"/>
          <w:kern w:val="0"/>
          <w:szCs w:val="21"/>
        </w:rPr>
        <w:t>向甲方偿付违约金。</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（四）遇不可抗力，双方需在尽可能的情况下采取保全措施，并及时通知对方。</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第十条 其他约定条款</w:t>
      </w:r>
    </w:p>
    <w:p>
      <w:pPr>
        <w:numPr>
          <w:ilvl w:val="0"/>
          <w:numId w:val="11"/>
        </w:numPr>
        <w:autoSpaceDE w:val="0"/>
        <w:autoSpaceDN w:val="0"/>
        <w:adjustRightInd w:val="0"/>
        <w:snapToGrid w:val="0"/>
        <w:spacing w:line="360" w:lineRule="auto"/>
        <w:jc w:val="left"/>
        <w:rPr>
          <w:rFonts w:ascii="宋体" w:hAnsi="宋体"/>
          <w:color w:val="auto"/>
          <w:kern w:val="0"/>
          <w:szCs w:val="21"/>
          <w:u w:val="single"/>
        </w:rPr>
      </w:pPr>
      <w:r>
        <w:rPr>
          <w:rFonts w:hint="eastAsia" w:ascii="宋体" w:hAnsi="宋体"/>
          <w:color w:val="auto"/>
          <w:kern w:val="0"/>
          <w:szCs w:val="21"/>
        </w:rPr>
        <w:t>本工程的招标文件、报价清单是合同的组成部分。</w:t>
      </w:r>
    </w:p>
    <w:p>
      <w:pPr>
        <w:numPr>
          <w:ilvl w:val="0"/>
          <w:numId w:val="11"/>
        </w:num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乙方按有关规定，采取严格的安全防护措施，并承担由于自身安全措施不力造成事故的责任和因此发生的费用。</w:t>
      </w:r>
    </w:p>
    <w:p>
      <w:pPr>
        <w:numPr>
          <w:ilvl w:val="0"/>
          <w:numId w:val="11"/>
        </w:num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乙方材料设备、机械的损坏及停工等损失，费用由乙方承担。</w:t>
      </w:r>
    </w:p>
    <w:p>
      <w:pPr>
        <w:numPr>
          <w:ilvl w:val="0"/>
          <w:numId w:val="11"/>
        </w:num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未经甲方同意，乙方擅自拆改原建筑物结构或设备、管线和其他附着物，由此发生的事故或造成的损失（包括罚款），由乙方承担责任并赔偿损失。</w:t>
      </w:r>
    </w:p>
    <w:p>
      <w:pPr>
        <w:numPr>
          <w:ilvl w:val="0"/>
          <w:numId w:val="11"/>
        </w:num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每日施工后，乙方要收整现场，并清理余泥杂物。</w:t>
      </w:r>
    </w:p>
    <w:p>
      <w:pPr>
        <w:numPr>
          <w:ilvl w:val="0"/>
          <w:numId w:val="11"/>
        </w:numPr>
        <w:autoSpaceDE w:val="0"/>
        <w:autoSpaceDN w:val="0"/>
        <w:adjustRightInd w:val="0"/>
        <w:snapToGrid w:val="0"/>
        <w:spacing w:line="360" w:lineRule="auto"/>
        <w:jc w:val="left"/>
        <w:rPr>
          <w:rFonts w:ascii="宋体" w:hAnsi="宋体"/>
          <w:color w:val="auto"/>
          <w:kern w:val="0"/>
          <w:szCs w:val="21"/>
        </w:rPr>
      </w:pPr>
      <w:r>
        <w:rPr>
          <w:rFonts w:hint="eastAsia" w:ascii="宋体" w:hAnsi="宋体"/>
          <w:color w:val="auto"/>
          <w:kern w:val="0"/>
          <w:szCs w:val="21"/>
        </w:rPr>
        <w:t>乙方应做好文明施工工作及安全保卫工作，所有施工人员进场作业，必须办理出入证件等。</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第十一条  争议解决方式</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发生纠纷双方协商或调解，协商或调解不成时，向甲方所在辖区人民法院提起诉讼。</w:t>
      </w:r>
    </w:p>
    <w:p>
      <w:pPr>
        <w:autoSpaceDE w:val="0"/>
        <w:autoSpaceDN w:val="0"/>
        <w:adjustRightInd w:val="0"/>
        <w:snapToGrid w:val="0"/>
        <w:spacing w:line="360" w:lineRule="auto"/>
        <w:ind w:firstLine="420" w:firstLineChars="200"/>
        <w:jc w:val="left"/>
        <w:rPr>
          <w:rFonts w:ascii="宋体" w:hAnsi="宋体"/>
          <w:b/>
          <w:color w:val="auto"/>
          <w:kern w:val="0"/>
          <w:szCs w:val="21"/>
        </w:rPr>
      </w:pPr>
      <w:r>
        <w:rPr>
          <w:rFonts w:hint="eastAsia" w:ascii="宋体" w:hAnsi="宋体"/>
          <w:b/>
          <w:color w:val="auto"/>
          <w:kern w:val="0"/>
          <w:szCs w:val="21"/>
        </w:rPr>
        <w:t>第十二条  合同有效期</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本合同经甲方盖章，乙方签字盖章后生效，至工程竣工验收，保修期满并结清款项后失效。</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b/>
          <w:color w:val="auto"/>
          <w:kern w:val="0"/>
          <w:szCs w:val="21"/>
        </w:rPr>
        <w:t>第十三条</w:t>
      </w:r>
      <w:r>
        <w:rPr>
          <w:rFonts w:hint="eastAsia" w:ascii="宋体" w:hAnsi="宋体"/>
          <w:color w:val="auto"/>
          <w:kern w:val="0"/>
          <w:szCs w:val="21"/>
        </w:rPr>
        <w:t xml:space="preserve">  合同一式份，甲乙双方各执份。</w:t>
      </w:r>
    </w:p>
    <w:p>
      <w:pPr>
        <w:autoSpaceDE w:val="0"/>
        <w:autoSpaceDN w:val="0"/>
        <w:adjustRightInd w:val="0"/>
        <w:snapToGrid w:val="0"/>
        <w:spacing w:line="360" w:lineRule="auto"/>
        <w:ind w:firstLine="420" w:firstLineChars="200"/>
        <w:jc w:val="left"/>
        <w:rPr>
          <w:rFonts w:ascii="宋体" w:hAnsi="宋体"/>
          <w:color w:val="auto"/>
          <w:kern w:val="0"/>
          <w:szCs w:val="21"/>
        </w:rPr>
      </w:pPr>
      <w:r>
        <w:rPr>
          <w:rFonts w:hint="eastAsia" w:ascii="宋体" w:hAnsi="宋体"/>
          <w:b/>
          <w:color w:val="auto"/>
          <w:kern w:val="0"/>
          <w:szCs w:val="21"/>
        </w:rPr>
        <w:t>第十四条</w:t>
      </w:r>
      <w:r>
        <w:rPr>
          <w:rFonts w:hint="eastAsia" w:ascii="宋体" w:hAnsi="宋体"/>
          <w:color w:val="auto"/>
          <w:kern w:val="0"/>
          <w:szCs w:val="21"/>
        </w:rPr>
        <w:t xml:space="preserve">  合同附件：</w:t>
      </w:r>
    </w:p>
    <w:p>
      <w:pPr>
        <w:autoSpaceDE w:val="0"/>
        <w:autoSpaceDN w:val="0"/>
        <w:adjustRightInd w:val="0"/>
        <w:spacing w:line="360" w:lineRule="auto"/>
        <w:jc w:val="left"/>
        <w:rPr>
          <w:rFonts w:ascii="宋体" w:hAnsi="宋体" w:cs="宋体"/>
          <w:color w:val="auto"/>
          <w:kern w:val="0"/>
          <w:szCs w:val="21"/>
        </w:rPr>
      </w:pPr>
    </w:p>
    <w:p>
      <w:pPr>
        <w:autoSpaceDE w:val="0"/>
        <w:autoSpaceDN w:val="0"/>
        <w:adjustRightInd w:val="0"/>
        <w:spacing w:line="360" w:lineRule="auto"/>
        <w:ind w:firstLine="420" w:firstLineChars="200"/>
        <w:jc w:val="left"/>
        <w:rPr>
          <w:rFonts w:ascii="宋体" w:hAnsi="宋体" w:cs="宋体"/>
          <w:color w:val="auto"/>
          <w:kern w:val="0"/>
          <w:szCs w:val="21"/>
        </w:rPr>
      </w:pPr>
    </w:p>
    <w:p>
      <w:pPr>
        <w:autoSpaceDE w:val="0"/>
        <w:autoSpaceDN w:val="0"/>
        <w:adjustRightInd w:val="0"/>
        <w:spacing w:line="360" w:lineRule="auto"/>
        <w:jc w:val="left"/>
        <w:rPr>
          <w:rFonts w:ascii="宋体" w:hAnsi="宋体"/>
          <w:color w:val="auto"/>
          <w:kern w:val="0"/>
          <w:szCs w:val="21"/>
        </w:rPr>
      </w:pPr>
      <w:r>
        <w:rPr>
          <w:rFonts w:hint="eastAsia" w:ascii="宋体" w:hAnsi="宋体" w:cs="宋体"/>
          <w:color w:val="auto"/>
          <w:kern w:val="0"/>
          <w:szCs w:val="21"/>
        </w:rPr>
        <w:t>采购方</w:t>
      </w:r>
      <w:r>
        <w:rPr>
          <w:rFonts w:hint="eastAsia" w:ascii="宋体" w:hAnsi="宋体"/>
          <w:color w:val="auto"/>
          <w:kern w:val="0"/>
          <w:szCs w:val="21"/>
        </w:rPr>
        <w:t xml:space="preserve">（盖章）：                         </w:t>
      </w:r>
      <w:r>
        <w:rPr>
          <w:rFonts w:hint="eastAsia" w:ascii="宋体" w:hAnsi="宋体" w:cs="宋体"/>
          <w:color w:val="auto"/>
          <w:kern w:val="0"/>
          <w:szCs w:val="21"/>
        </w:rPr>
        <w:t>承包方</w:t>
      </w:r>
      <w:r>
        <w:rPr>
          <w:rFonts w:hint="eastAsia" w:ascii="宋体" w:hAnsi="宋体"/>
          <w:color w:val="auto"/>
          <w:kern w:val="0"/>
          <w:szCs w:val="21"/>
        </w:rPr>
        <w:t>（盖章）：</w:t>
      </w:r>
    </w:p>
    <w:p>
      <w:pPr>
        <w:autoSpaceDE w:val="0"/>
        <w:autoSpaceDN w:val="0"/>
        <w:adjustRightInd w:val="0"/>
        <w:spacing w:line="360" w:lineRule="auto"/>
        <w:jc w:val="left"/>
        <w:rPr>
          <w:rFonts w:ascii="宋体" w:hAnsi="宋体"/>
          <w:color w:val="auto"/>
          <w:kern w:val="0"/>
          <w:szCs w:val="21"/>
        </w:rPr>
      </w:pPr>
      <w:r>
        <w:rPr>
          <w:rFonts w:hint="eastAsia" w:ascii="宋体" w:hAnsi="宋体"/>
          <w:color w:val="auto"/>
          <w:kern w:val="0"/>
          <w:szCs w:val="21"/>
        </w:rPr>
        <w:t xml:space="preserve">代表：                                   代表： </w:t>
      </w:r>
    </w:p>
    <w:p>
      <w:pPr>
        <w:autoSpaceDE w:val="0"/>
        <w:autoSpaceDN w:val="0"/>
        <w:adjustRightInd w:val="0"/>
        <w:spacing w:line="360" w:lineRule="auto"/>
        <w:jc w:val="left"/>
        <w:rPr>
          <w:rFonts w:ascii="宋体" w:hAnsi="宋体"/>
          <w:color w:val="auto"/>
          <w:kern w:val="0"/>
          <w:szCs w:val="21"/>
        </w:rPr>
      </w:pPr>
      <w:r>
        <w:rPr>
          <w:rFonts w:hint="eastAsia" w:ascii="宋体" w:hAnsi="宋体"/>
          <w:color w:val="auto"/>
          <w:kern w:val="0"/>
          <w:szCs w:val="21"/>
        </w:rPr>
        <w:t>签定地点：</w:t>
      </w:r>
    </w:p>
    <w:p>
      <w:pPr>
        <w:autoSpaceDE w:val="0"/>
        <w:autoSpaceDN w:val="0"/>
        <w:adjustRightInd w:val="0"/>
        <w:spacing w:line="360" w:lineRule="auto"/>
        <w:jc w:val="left"/>
        <w:rPr>
          <w:rFonts w:ascii="宋体" w:hAnsi="宋体"/>
          <w:color w:val="auto"/>
          <w:kern w:val="0"/>
          <w:szCs w:val="21"/>
        </w:rPr>
      </w:pPr>
      <w:r>
        <w:rPr>
          <w:rFonts w:hint="eastAsia" w:ascii="宋体" w:hAnsi="宋体"/>
          <w:color w:val="auto"/>
          <w:kern w:val="0"/>
          <w:szCs w:val="21"/>
        </w:rPr>
        <w:t xml:space="preserve">签定日期：        年     月    日        签定日期：    年    月    日    </w:t>
      </w:r>
    </w:p>
    <w:p>
      <w:pPr>
        <w:autoSpaceDE w:val="0"/>
        <w:autoSpaceDN w:val="0"/>
        <w:adjustRightInd w:val="0"/>
        <w:spacing w:line="360" w:lineRule="auto"/>
        <w:ind w:firstLine="4962"/>
        <w:jc w:val="left"/>
        <w:rPr>
          <w:rFonts w:ascii="宋体" w:hAnsi="宋体"/>
          <w:color w:val="auto"/>
          <w:kern w:val="0"/>
          <w:szCs w:val="21"/>
        </w:rPr>
      </w:pPr>
      <w:r>
        <w:rPr>
          <w:rFonts w:hint="eastAsia" w:ascii="宋体" w:hAnsi="宋体"/>
          <w:color w:val="auto"/>
          <w:kern w:val="0"/>
          <w:szCs w:val="21"/>
        </w:rPr>
        <w:t>开户名称：</w:t>
      </w:r>
    </w:p>
    <w:p>
      <w:pPr>
        <w:autoSpaceDE w:val="0"/>
        <w:autoSpaceDN w:val="0"/>
        <w:adjustRightInd w:val="0"/>
        <w:spacing w:line="360" w:lineRule="auto"/>
        <w:ind w:firstLine="4962"/>
        <w:jc w:val="left"/>
        <w:rPr>
          <w:rFonts w:ascii="宋体" w:hAnsi="宋体"/>
          <w:color w:val="auto"/>
          <w:kern w:val="0"/>
          <w:szCs w:val="21"/>
        </w:rPr>
      </w:pPr>
      <w:r>
        <w:rPr>
          <w:rFonts w:hint="eastAsia" w:ascii="宋体" w:hAnsi="宋体"/>
          <w:color w:val="auto"/>
          <w:kern w:val="0"/>
          <w:szCs w:val="21"/>
        </w:rPr>
        <w:t>银行账号：</w:t>
      </w:r>
    </w:p>
    <w:p>
      <w:pPr>
        <w:autoSpaceDE w:val="0"/>
        <w:autoSpaceDN w:val="0"/>
        <w:adjustRightInd w:val="0"/>
        <w:spacing w:line="360" w:lineRule="auto"/>
        <w:ind w:firstLine="4962"/>
        <w:jc w:val="left"/>
        <w:rPr>
          <w:rFonts w:ascii="宋体" w:hAnsi="宋体"/>
          <w:color w:val="auto"/>
          <w:kern w:val="0"/>
          <w:szCs w:val="21"/>
        </w:rPr>
      </w:pPr>
      <w:r>
        <w:rPr>
          <w:rFonts w:hint="eastAsia" w:ascii="宋体" w:hAnsi="宋体"/>
          <w:color w:val="auto"/>
          <w:kern w:val="0"/>
          <w:szCs w:val="21"/>
        </w:rPr>
        <w:t>开 户 行：</w:t>
      </w:r>
    </w:p>
    <w:p>
      <w:pPr>
        <w:autoSpaceDE w:val="0"/>
        <w:autoSpaceDN w:val="0"/>
        <w:adjustRightInd w:val="0"/>
        <w:spacing w:line="360" w:lineRule="auto"/>
        <w:ind w:firstLine="4962"/>
        <w:jc w:val="left"/>
        <w:rPr>
          <w:rFonts w:ascii="宋体" w:hAnsi="宋体"/>
          <w:color w:val="auto"/>
          <w:kern w:val="0"/>
          <w:sz w:val="24"/>
        </w:rPr>
      </w:pPr>
    </w:p>
    <w:p>
      <w:pPr>
        <w:rPr>
          <w:color w:val="auto"/>
        </w:rPr>
      </w:pPr>
    </w:p>
    <w:p>
      <w:pPr>
        <w:rPr>
          <w:color w:val="auto"/>
        </w:rPr>
        <w:sectPr>
          <w:pgSz w:w="11906" w:h="16838"/>
          <w:pgMar w:top="1418" w:right="1361" w:bottom="1418" w:left="1418" w:header="851" w:footer="992" w:gutter="0"/>
          <w:cols w:space="720" w:num="1"/>
          <w:docGrid w:type="linesAndChars" w:linePitch="312" w:charSpace="0"/>
        </w:sectPr>
      </w:pPr>
    </w:p>
    <w:p>
      <w:pPr>
        <w:rPr>
          <w:color w:val="auto"/>
        </w:rPr>
      </w:pPr>
    </w:p>
    <w:p>
      <w:pPr>
        <w:pStyle w:val="2"/>
        <w:keepNext/>
        <w:keepLines/>
        <w:widowControl w:val="0"/>
        <w:spacing w:before="0" w:after="0" w:line="360" w:lineRule="auto"/>
        <w:ind w:right="0"/>
        <w:jc w:val="center"/>
        <w:rPr>
          <w:b w:val="0"/>
          <w:color w:val="auto"/>
        </w:rPr>
      </w:pPr>
      <w:bookmarkStart w:id="148" w:name="第05章工程量清单"/>
      <w:bookmarkEnd w:id="148"/>
      <w:bookmarkStart w:id="149" w:name="_Toc518908460"/>
      <w:r>
        <w:rPr>
          <w:rFonts w:ascii="Times New Roman" w:hAnsi="Times New Roman"/>
          <w:color w:val="auto"/>
          <w:kern w:val="44"/>
          <w:sz w:val="44"/>
          <w:szCs w:val="44"/>
          <w:lang w:val="zh-CN"/>
        </w:rPr>
        <w:t>第5章　工程量清单</w:t>
      </w:r>
      <w:bookmarkEnd w:id="149"/>
    </w:p>
    <w:p>
      <w:pPr>
        <w:jc w:val="center"/>
        <w:rPr>
          <w:color w:val="auto"/>
          <w:kern w:val="44"/>
          <w:sz w:val="44"/>
          <w:szCs w:val="44"/>
          <w:lang w:val="zh-CN"/>
        </w:rPr>
      </w:pPr>
      <w:r>
        <w:rPr>
          <w:rFonts w:hint="eastAsia"/>
          <w:color w:val="auto"/>
        </w:rPr>
        <w:t>（另册）</w:t>
      </w:r>
      <w:r>
        <w:rPr>
          <w:color w:val="auto"/>
          <w:kern w:val="44"/>
          <w:sz w:val="44"/>
          <w:szCs w:val="44"/>
          <w:lang w:val="zh-CN"/>
        </w:rPr>
        <w:br w:type="page"/>
      </w:r>
    </w:p>
    <w:p>
      <w:pPr>
        <w:pStyle w:val="2"/>
        <w:keepNext/>
        <w:keepLines/>
        <w:widowControl w:val="0"/>
        <w:spacing w:before="0" w:after="0" w:line="360" w:lineRule="auto"/>
        <w:ind w:right="0"/>
        <w:jc w:val="center"/>
        <w:rPr>
          <w:rFonts w:ascii="Times New Roman" w:hAnsi="Times New Roman"/>
          <w:color w:val="auto"/>
          <w:kern w:val="44"/>
          <w:sz w:val="44"/>
          <w:szCs w:val="44"/>
          <w:lang w:val="zh-CN"/>
        </w:rPr>
      </w:pPr>
      <w:bookmarkStart w:id="150" w:name="第02卷"/>
      <w:bookmarkEnd w:id="150"/>
      <w:bookmarkStart w:id="151" w:name="第06章图纸招标"/>
      <w:bookmarkEnd w:id="151"/>
      <w:bookmarkStart w:id="152" w:name="第05章工程量清单投标"/>
      <w:bookmarkEnd w:id="152"/>
      <w:bookmarkStart w:id="153" w:name="第07章技术标准和要求"/>
      <w:bookmarkEnd w:id="153"/>
      <w:bookmarkStart w:id="154" w:name="第03卷"/>
      <w:bookmarkEnd w:id="154"/>
      <w:bookmarkStart w:id="155" w:name="_Toc518908461"/>
      <w:r>
        <w:rPr>
          <w:rFonts w:ascii="Times New Roman" w:hAnsi="Times New Roman"/>
          <w:color w:val="auto"/>
          <w:kern w:val="44"/>
          <w:sz w:val="44"/>
          <w:szCs w:val="44"/>
          <w:lang w:val="zh-CN"/>
        </w:rPr>
        <w:t>第</w:t>
      </w:r>
      <w:r>
        <w:rPr>
          <w:rFonts w:hint="eastAsia" w:ascii="Times New Roman" w:hAnsi="Times New Roman"/>
          <w:color w:val="auto"/>
          <w:kern w:val="44"/>
          <w:sz w:val="44"/>
          <w:szCs w:val="44"/>
          <w:lang w:val="zh-CN"/>
        </w:rPr>
        <w:t>6</w:t>
      </w:r>
      <w:r>
        <w:rPr>
          <w:rFonts w:ascii="Times New Roman" w:hAnsi="Times New Roman"/>
          <w:color w:val="auto"/>
          <w:kern w:val="44"/>
          <w:sz w:val="44"/>
          <w:szCs w:val="44"/>
          <w:lang w:val="zh-CN"/>
        </w:rPr>
        <w:t>章　</w:t>
      </w:r>
      <w:r>
        <w:rPr>
          <w:rFonts w:hint="eastAsia" w:ascii="Times New Roman" w:hAnsi="Times New Roman"/>
          <w:color w:val="auto"/>
          <w:kern w:val="44"/>
          <w:sz w:val="44"/>
          <w:szCs w:val="44"/>
          <w:lang w:val="zh-CN"/>
        </w:rPr>
        <w:t>图纸</w:t>
      </w:r>
      <w:bookmarkEnd w:id="155"/>
    </w:p>
    <w:p>
      <w:pPr>
        <w:jc w:val="center"/>
        <w:rPr>
          <w:color w:val="auto"/>
        </w:rPr>
      </w:pPr>
      <w:r>
        <w:rPr>
          <w:rFonts w:hint="eastAsia"/>
          <w:color w:val="auto"/>
        </w:rPr>
        <w:t>（另册）</w:t>
      </w:r>
    </w:p>
    <w:p>
      <w:pPr>
        <w:rPr>
          <w:color w:val="auto"/>
        </w:rPr>
      </w:pPr>
    </w:p>
    <w:p>
      <w:pPr>
        <w:rPr>
          <w:color w:val="auto"/>
        </w:rPr>
      </w:pPr>
    </w:p>
    <w:p>
      <w:pPr>
        <w:jc w:val="center"/>
        <w:rPr>
          <w:rFonts w:ascii="黑体" w:hAnsi="黑体" w:eastAsia="黑体"/>
          <w:b/>
          <w:color w:val="auto"/>
          <w:sz w:val="52"/>
          <w:szCs w:val="52"/>
        </w:rPr>
        <w:sectPr>
          <w:pgSz w:w="11906" w:h="16838"/>
          <w:pgMar w:top="1418" w:right="1361" w:bottom="1418" w:left="1418" w:header="851" w:footer="992" w:gutter="0"/>
          <w:cols w:space="720" w:num="1"/>
          <w:docGrid w:type="linesAndChars" w:linePitch="312" w:charSpace="0"/>
        </w:sectPr>
      </w:pPr>
      <w:bookmarkStart w:id="156" w:name="第04卷"/>
      <w:bookmarkEnd w:id="156"/>
    </w:p>
    <w:p>
      <w:pPr>
        <w:pStyle w:val="2"/>
        <w:keepNext/>
        <w:keepLines/>
        <w:widowControl w:val="0"/>
        <w:spacing w:before="0" w:after="0" w:line="360" w:lineRule="auto"/>
        <w:ind w:right="0"/>
        <w:jc w:val="center"/>
        <w:rPr>
          <w:rFonts w:ascii="Times New Roman" w:hAnsi="Times New Roman"/>
          <w:color w:val="auto"/>
          <w:kern w:val="44"/>
          <w:sz w:val="44"/>
          <w:szCs w:val="44"/>
          <w:lang w:val="zh-CN"/>
        </w:rPr>
      </w:pPr>
      <w:bookmarkStart w:id="157" w:name="第08章投标文件格式"/>
      <w:bookmarkEnd w:id="157"/>
      <w:bookmarkStart w:id="158" w:name="_Toc518908462"/>
      <w:r>
        <w:rPr>
          <w:rFonts w:ascii="Times New Roman" w:hAnsi="Times New Roman"/>
          <w:color w:val="auto"/>
          <w:kern w:val="44"/>
          <w:sz w:val="44"/>
          <w:szCs w:val="44"/>
          <w:lang w:val="zh-CN"/>
        </w:rPr>
        <w:t>第</w:t>
      </w:r>
      <w:r>
        <w:rPr>
          <w:rFonts w:hint="eastAsia" w:ascii="Times New Roman" w:hAnsi="Times New Roman"/>
          <w:color w:val="auto"/>
          <w:kern w:val="44"/>
          <w:sz w:val="44"/>
          <w:szCs w:val="44"/>
          <w:lang w:val="zh-CN"/>
        </w:rPr>
        <w:t>7</w:t>
      </w:r>
      <w:r>
        <w:rPr>
          <w:rFonts w:ascii="Times New Roman" w:hAnsi="Times New Roman"/>
          <w:color w:val="auto"/>
          <w:kern w:val="44"/>
          <w:sz w:val="44"/>
          <w:szCs w:val="44"/>
          <w:lang w:val="zh-CN"/>
        </w:rPr>
        <w:t>章　投标文件格式</w:t>
      </w:r>
      <w:bookmarkEnd w:id="158"/>
    </w:p>
    <w:p>
      <w:pPr>
        <w:rPr>
          <w:color w:val="auto"/>
        </w:rPr>
      </w:pPr>
    </w:p>
    <w:p>
      <w:pPr>
        <w:rPr>
          <w:color w:val="auto"/>
        </w:rPr>
      </w:pPr>
    </w:p>
    <w:p>
      <w:pPr>
        <w:rPr>
          <w:color w:val="auto"/>
        </w:rPr>
      </w:pPr>
    </w:p>
    <w:p>
      <w:pPr>
        <w:rPr>
          <w:color w:val="auto"/>
        </w:rPr>
      </w:pPr>
    </w:p>
    <w:p>
      <w:pPr>
        <w:jc w:val="center"/>
        <w:rPr>
          <w:b/>
          <w:color w:val="auto"/>
          <w:sz w:val="44"/>
          <w:szCs w:val="44"/>
        </w:rPr>
      </w:pPr>
      <w:r>
        <w:rPr>
          <w:rFonts w:hint="eastAsia"/>
          <w:b/>
          <w:color w:val="auto"/>
          <w:sz w:val="44"/>
          <w:szCs w:val="44"/>
        </w:rPr>
        <w:t>【项目名称】</w:t>
      </w:r>
    </w:p>
    <w:p>
      <w:pPr>
        <w:rPr>
          <w:b/>
          <w:color w:val="auto"/>
          <w:sz w:val="52"/>
          <w:szCs w:val="52"/>
        </w:rPr>
      </w:pPr>
    </w:p>
    <w:p>
      <w:pPr>
        <w:rPr>
          <w:b/>
          <w:color w:val="auto"/>
          <w:sz w:val="52"/>
          <w:szCs w:val="52"/>
        </w:rPr>
      </w:pPr>
    </w:p>
    <w:p>
      <w:pPr>
        <w:rPr>
          <w:b/>
          <w:color w:val="auto"/>
          <w:sz w:val="52"/>
          <w:szCs w:val="52"/>
        </w:rPr>
      </w:pPr>
    </w:p>
    <w:p>
      <w:pPr>
        <w:jc w:val="center"/>
        <w:rPr>
          <w:b/>
          <w:color w:val="auto"/>
          <w:sz w:val="52"/>
          <w:szCs w:val="52"/>
        </w:rPr>
      </w:pPr>
      <w:r>
        <w:rPr>
          <w:rFonts w:hint="eastAsia"/>
          <w:b/>
          <w:color w:val="auto"/>
          <w:sz w:val="52"/>
          <w:szCs w:val="52"/>
        </w:rPr>
        <w:t>投标文件</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480" w:lineRule="auto"/>
        <w:rPr>
          <w:color w:val="auto"/>
        </w:rPr>
      </w:pPr>
      <w:bookmarkStart w:id="159" w:name="_Hlt269103121"/>
      <w:bookmarkEnd w:id="159"/>
    </w:p>
    <w:p>
      <w:pPr>
        <w:spacing w:line="480" w:lineRule="auto"/>
        <w:ind w:firstLine="960" w:firstLineChars="300"/>
        <w:rPr>
          <w:color w:val="auto"/>
          <w:sz w:val="32"/>
          <w:szCs w:val="32"/>
        </w:rPr>
      </w:pPr>
      <w:r>
        <w:rPr>
          <w:rFonts w:hint="eastAsia"/>
          <w:color w:val="auto"/>
          <w:sz w:val="32"/>
          <w:szCs w:val="32"/>
        </w:rPr>
        <w:t>投标人: （盖章）</w:t>
      </w:r>
    </w:p>
    <w:p>
      <w:pPr>
        <w:spacing w:line="480" w:lineRule="auto"/>
        <w:ind w:firstLine="960" w:firstLineChars="300"/>
        <w:rPr>
          <w:color w:val="auto"/>
          <w:sz w:val="32"/>
          <w:szCs w:val="32"/>
        </w:rPr>
      </w:pPr>
      <w:r>
        <w:rPr>
          <w:color w:val="auto"/>
          <w:sz w:val="32"/>
          <w:szCs w:val="32"/>
        </w:rPr>
        <w:t>法定代表人或其</w:t>
      </w:r>
      <w:r>
        <w:rPr>
          <w:rFonts w:hint="eastAsia"/>
          <w:color w:val="auto"/>
          <w:sz w:val="32"/>
          <w:szCs w:val="32"/>
        </w:rPr>
        <w:t>授权代表：（</w:t>
      </w:r>
      <w:r>
        <w:rPr>
          <w:color w:val="auto"/>
          <w:sz w:val="32"/>
          <w:szCs w:val="32"/>
        </w:rPr>
        <w:t>签字）</w:t>
      </w:r>
    </w:p>
    <w:p>
      <w:pPr>
        <w:rPr>
          <w:color w:val="auto"/>
          <w:sz w:val="32"/>
          <w:szCs w:val="32"/>
        </w:rPr>
      </w:pPr>
    </w:p>
    <w:p>
      <w:pPr>
        <w:jc w:val="center"/>
        <w:rPr>
          <w:color w:val="auto"/>
          <w:sz w:val="32"/>
          <w:szCs w:val="32"/>
        </w:rPr>
      </w:pPr>
      <w:r>
        <w:rPr>
          <w:rFonts w:hint="eastAsia"/>
          <w:color w:val="auto"/>
          <w:sz w:val="32"/>
          <w:szCs w:val="32"/>
        </w:rPr>
        <w:t>年月日</w:t>
      </w:r>
    </w:p>
    <w:p>
      <w:pPr>
        <w:rPr>
          <w:rFonts w:ascii="宋体" w:hAnsi="宋体"/>
          <w:b/>
          <w:color w:val="auto"/>
          <w:sz w:val="32"/>
          <w:szCs w:val="32"/>
        </w:rPr>
      </w:pPr>
    </w:p>
    <w:p>
      <w:pPr>
        <w:rPr>
          <w:color w:val="auto"/>
        </w:rPr>
      </w:pPr>
      <w:bookmarkStart w:id="160" w:name="第08章投标文件格式00"/>
      <w:bookmarkEnd w:id="160"/>
    </w:p>
    <w:p>
      <w:pPr>
        <w:jc w:val="center"/>
        <w:rPr>
          <w:rFonts w:ascii="黑体" w:hAnsi="黑体" w:eastAsia="黑体"/>
          <w:color w:val="auto"/>
          <w:sz w:val="36"/>
          <w:szCs w:val="36"/>
        </w:rPr>
      </w:pPr>
      <w:r>
        <w:rPr>
          <w:color w:val="auto"/>
        </w:rPr>
        <w:br w:type="page"/>
      </w:r>
      <w:bookmarkStart w:id="161" w:name="_Hlt269103156"/>
      <w:bookmarkEnd w:id="161"/>
      <w:r>
        <w:rPr>
          <w:rFonts w:hint="eastAsia" w:ascii="黑体" w:hAnsi="黑体" w:eastAsia="黑体"/>
          <w:color w:val="auto"/>
          <w:sz w:val="36"/>
          <w:szCs w:val="36"/>
        </w:rPr>
        <w:t>目  录</w:t>
      </w:r>
    </w:p>
    <w:p>
      <w:pPr>
        <w:spacing w:line="480" w:lineRule="exact"/>
        <w:rPr>
          <w:rFonts w:ascii="宋体" w:hAnsi="宋体"/>
          <w:b/>
          <w:color w:val="auto"/>
          <w:sz w:val="28"/>
          <w:szCs w:val="28"/>
        </w:rPr>
      </w:pPr>
      <w:bookmarkStart w:id="162" w:name="第08章投标文件格式01"/>
      <w:bookmarkEnd w:id="162"/>
    </w:p>
    <w:p>
      <w:pPr>
        <w:numPr>
          <w:ilvl w:val="0"/>
          <w:numId w:val="12"/>
        </w:numPr>
        <w:spacing w:line="480" w:lineRule="auto"/>
        <w:jc w:val="left"/>
        <w:rPr>
          <w:rFonts w:ascii="宋体" w:hAnsi="宋体"/>
          <w:b/>
          <w:color w:val="auto"/>
          <w:sz w:val="28"/>
          <w:szCs w:val="28"/>
        </w:rPr>
      </w:pPr>
      <w:r>
        <w:rPr>
          <w:rFonts w:hint="eastAsia" w:ascii="宋体" w:hAnsi="宋体"/>
          <w:b/>
          <w:color w:val="auto"/>
          <w:sz w:val="28"/>
          <w:szCs w:val="28"/>
        </w:rPr>
        <w:t>投标函及投标函附录</w:t>
      </w:r>
    </w:p>
    <w:p>
      <w:pPr>
        <w:numPr>
          <w:ilvl w:val="0"/>
          <w:numId w:val="12"/>
        </w:numPr>
        <w:spacing w:line="480" w:lineRule="auto"/>
        <w:jc w:val="left"/>
        <w:rPr>
          <w:rFonts w:ascii="宋体" w:hAnsi="宋体"/>
          <w:b/>
          <w:color w:val="auto"/>
          <w:sz w:val="28"/>
          <w:szCs w:val="28"/>
        </w:rPr>
      </w:pPr>
      <w:r>
        <w:rPr>
          <w:rFonts w:hint="eastAsia" w:ascii="宋体" w:hAnsi="宋体"/>
          <w:b/>
          <w:color w:val="auto"/>
          <w:sz w:val="28"/>
          <w:szCs w:val="28"/>
        </w:rPr>
        <w:t>法定代表人证明书</w:t>
      </w:r>
    </w:p>
    <w:p>
      <w:pPr>
        <w:numPr>
          <w:ilvl w:val="0"/>
          <w:numId w:val="12"/>
        </w:numPr>
        <w:spacing w:line="480" w:lineRule="auto"/>
        <w:jc w:val="left"/>
        <w:rPr>
          <w:rFonts w:ascii="宋体" w:hAnsi="宋体"/>
          <w:b/>
          <w:color w:val="auto"/>
          <w:sz w:val="28"/>
          <w:szCs w:val="28"/>
        </w:rPr>
      </w:pPr>
      <w:r>
        <w:rPr>
          <w:rFonts w:hint="eastAsia" w:ascii="宋体" w:hAnsi="宋体"/>
          <w:b/>
          <w:color w:val="auto"/>
          <w:sz w:val="28"/>
          <w:szCs w:val="28"/>
        </w:rPr>
        <w:t>授权委托书</w:t>
      </w:r>
    </w:p>
    <w:p>
      <w:pPr>
        <w:numPr>
          <w:ilvl w:val="0"/>
          <w:numId w:val="12"/>
        </w:numPr>
        <w:spacing w:line="480" w:lineRule="auto"/>
        <w:jc w:val="left"/>
        <w:rPr>
          <w:rFonts w:ascii="宋体" w:hAnsi="宋体"/>
          <w:b/>
          <w:color w:val="auto"/>
          <w:sz w:val="28"/>
          <w:szCs w:val="28"/>
        </w:rPr>
      </w:pPr>
      <w:r>
        <w:rPr>
          <w:rFonts w:hint="eastAsia" w:ascii="宋体" w:hAnsi="宋体"/>
          <w:b/>
          <w:color w:val="auto"/>
          <w:sz w:val="28"/>
          <w:szCs w:val="28"/>
        </w:rPr>
        <w:t>资格审查资料</w:t>
      </w:r>
    </w:p>
    <w:p>
      <w:pPr>
        <w:numPr>
          <w:ilvl w:val="0"/>
          <w:numId w:val="12"/>
        </w:numPr>
        <w:spacing w:line="480" w:lineRule="auto"/>
        <w:jc w:val="left"/>
        <w:rPr>
          <w:rFonts w:ascii="宋体" w:hAnsi="宋体"/>
          <w:b/>
          <w:color w:val="auto"/>
          <w:sz w:val="28"/>
          <w:szCs w:val="28"/>
        </w:rPr>
      </w:pPr>
      <w:r>
        <w:rPr>
          <w:rFonts w:hint="eastAsia" w:ascii="宋体" w:hAnsi="宋体"/>
          <w:b/>
          <w:color w:val="auto"/>
          <w:sz w:val="28"/>
          <w:szCs w:val="28"/>
        </w:rPr>
        <w:t>施工方案</w:t>
      </w:r>
    </w:p>
    <w:p>
      <w:pPr>
        <w:pStyle w:val="13"/>
        <w:ind w:left="420"/>
        <w:rPr>
          <w:color w:val="auto"/>
        </w:rPr>
        <w:sectPr>
          <w:pgSz w:w="11906" w:h="16838"/>
          <w:pgMar w:top="1418" w:right="1361" w:bottom="1418" w:left="1418" w:header="851" w:footer="992" w:gutter="0"/>
          <w:cols w:space="720" w:num="1"/>
          <w:docGrid w:type="linesAndChars" w:linePitch="312" w:charSpace="0"/>
        </w:sectPr>
      </w:pPr>
      <w:bookmarkStart w:id="163" w:name="_Toc518893840"/>
      <w:bookmarkStart w:id="164" w:name="_Toc433215196"/>
      <w:bookmarkStart w:id="165" w:name="_Toc518908463"/>
      <w:bookmarkStart w:id="166" w:name="_Toc434396995"/>
    </w:p>
    <w:p>
      <w:pPr>
        <w:pStyle w:val="13"/>
        <w:ind w:left="420"/>
        <w:rPr>
          <w:color w:val="auto"/>
        </w:rPr>
      </w:pPr>
      <w:r>
        <w:rPr>
          <w:rFonts w:hint="eastAsia"/>
          <w:color w:val="auto"/>
        </w:rPr>
        <w:t>投标函</w:t>
      </w:r>
      <w:bookmarkEnd w:id="163"/>
      <w:bookmarkEnd w:id="164"/>
      <w:bookmarkEnd w:id="165"/>
      <w:bookmarkEnd w:id="166"/>
    </w:p>
    <w:p>
      <w:pPr>
        <w:spacing w:line="420" w:lineRule="exact"/>
        <w:contextualSpacing/>
        <w:rPr>
          <w:rFonts w:ascii="宋体" w:hAnsi="宋体"/>
          <w:color w:val="auto"/>
          <w:szCs w:val="21"/>
        </w:rPr>
      </w:pPr>
      <w:r>
        <w:rPr>
          <w:rFonts w:hint="eastAsia" w:ascii="宋体" w:hAnsi="宋体"/>
          <w:color w:val="auto"/>
          <w:szCs w:val="21"/>
          <w:u w:val="single"/>
        </w:rPr>
        <w:t>【招标人】</w:t>
      </w:r>
      <w:r>
        <w:rPr>
          <w:rFonts w:hint="eastAsia" w:ascii="宋体" w:hAnsi="宋体"/>
          <w:color w:val="auto"/>
          <w:szCs w:val="21"/>
        </w:rPr>
        <w:t xml:space="preserve">： </w:t>
      </w:r>
    </w:p>
    <w:p>
      <w:pPr>
        <w:spacing w:line="420" w:lineRule="exact"/>
        <w:ind w:firstLine="420" w:firstLineChars="200"/>
        <w:contextualSpacing/>
        <w:rPr>
          <w:rFonts w:ascii="宋体" w:hAnsi="宋体"/>
          <w:color w:val="auto"/>
          <w:szCs w:val="21"/>
        </w:rPr>
      </w:pPr>
      <w:r>
        <w:rPr>
          <w:rFonts w:hint="eastAsia" w:ascii="宋体" w:hAnsi="宋体"/>
          <w:color w:val="auto"/>
          <w:szCs w:val="21"/>
        </w:rPr>
        <w:t xml:space="preserve">1.根据你方拟建工程的招标文件，遵照《中华人民共和国招标投标法》等有关法律法规的规定，经我方研究招标文件及其相应的补遗资料、书面通知等规定后，结合本工程实际情况和市场行情，我方愿以投标函附录中的金额报价，工程质量达到国家现行规范及验收合格标准，并通过有关部门的审验备案。 </w:t>
      </w:r>
    </w:p>
    <w:p>
      <w:pPr>
        <w:spacing w:line="420" w:lineRule="exact"/>
        <w:ind w:firstLine="420" w:firstLineChars="200"/>
        <w:contextualSpacing/>
        <w:rPr>
          <w:rFonts w:ascii="宋体" w:hAnsi="宋体"/>
          <w:color w:val="auto"/>
          <w:szCs w:val="21"/>
        </w:rPr>
      </w:pPr>
      <w:r>
        <w:rPr>
          <w:rFonts w:hint="eastAsia" w:ascii="宋体" w:hAnsi="宋体"/>
          <w:color w:val="auto"/>
          <w:szCs w:val="21"/>
        </w:rPr>
        <w:t>2.我方承诺在投标有效期</w:t>
      </w:r>
      <w:r>
        <w:rPr>
          <w:rFonts w:hint="eastAsia" w:ascii="宋体" w:hAnsi="宋体"/>
          <w:color w:val="auto"/>
          <w:szCs w:val="21"/>
          <w:u w:val="single"/>
        </w:rPr>
        <w:t xml:space="preserve"> 90 天</w:t>
      </w:r>
      <w:r>
        <w:rPr>
          <w:rFonts w:hint="eastAsia" w:ascii="宋体" w:hAnsi="宋体"/>
          <w:color w:val="auto"/>
          <w:szCs w:val="21"/>
        </w:rPr>
        <w:t xml:space="preserve">内不补充、修改、替代或者撤回本投标文件。 </w:t>
      </w:r>
    </w:p>
    <w:p>
      <w:pPr>
        <w:spacing w:line="420" w:lineRule="exact"/>
        <w:ind w:firstLine="420" w:firstLineChars="200"/>
        <w:contextualSpacing/>
        <w:rPr>
          <w:rFonts w:ascii="宋体" w:hAnsi="宋体"/>
          <w:color w:val="auto"/>
          <w:szCs w:val="21"/>
        </w:rPr>
      </w:pPr>
      <w:r>
        <w:rPr>
          <w:rFonts w:hint="eastAsia" w:ascii="宋体" w:hAnsi="宋体"/>
          <w:color w:val="auto"/>
          <w:szCs w:val="21"/>
        </w:rPr>
        <w:t>3.随同本投标函递交投标保证金一份，作为我方的投标担保。</w:t>
      </w:r>
    </w:p>
    <w:p>
      <w:pPr>
        <w:spacing w:line="420" w:lineRule="exact"/>
        <w:ind w:firstLine="420" w:firstLineChars="200"/>
        <w:contextualSpacing/>
        <w:rPr>
          <w:rFonts w:ascii="宋体" w:hAnsi="宋体"/>
          <w:color w:val="auto"/>
          <w:szCs w:val="21"/>
        </w:rPr>
      </w:pPr>
      <w:r>
        <w:rPr>
          <w:rFonts w:hint="eastAsia" w:ascii="宋体" w:hAnsi="宋体"/>
          <w:color w:val="auto"/>
          <w:szCs w:val="21"/>
        </w:rPr>
        <w:t xml:space="preserve">4.如我方中标： </w:t>
      </w:r>
    </w:p>
    <w:p>
      <w:pPr>
        <w:spacing w:line="420" w:lineRule="exact"/>
        <w:contextualSpacing/>
        <w:rPr>
          <w:rFonts w:ascii="宋体" w:hAnsi="宋体"/>
          <w:color w:val="auto"/>
          <w:szCs w:val="21"/>
        </w:rPr>
      </w:pPr>
      <w:r>
        <w:rPr>
          <w:rFonts w:hint="eastAsia" w:ascii="宋体" w:hAnsi="宋体"/>
          <w:color w:val="auto"/>
          <w:szCs w:val="21"/>
        </w:rPr>
        <w:t xml:space="preserve">    （1）我方承诺在收到中标通知书后，在中标通知书规定的期限内与你方签订合同；      </w:t>
      </w:r>
    </w:p>
    <w:p>
      <w:pPr>
        <w:spacing w:line="420" w:lineRule="exact"/>
        <w:contextualSpacing/>
        <w:rPr>
          <w:rFonts w:ascii="宋体" w:hAnsi="宋体"/>
          <w:color w:val="auto"/>
          <w:szCs w:val="21"/>
        </w:rPr>
      </w:pPr>
      <w:r>
        <w:rPr>
          <w:rFonts w:hint="eastAsia" w:ascii="宋体" w:hAnsi="宋体"/>
          <w:color w:val="auto"/>
          <w:szCs w:val="21"/>
        </w:rPr>
        <w:t xml:space="preserve">    （2）随同本投标函递交的投标函附录属于合同文件的组成部分； </w:t>
      </w:r>
    </w:p>
    <w:p>
      <w:pPr>
        <w:spacing w:line="420" w:lineRule="exact"/>
        <w:contextualSpacing/>
        <w:rPr>
          <w:rFonts w:ascii="宋体" w:hAnsi="宋体"/>
          <w:color w:val="auto"/>
          <w:szCs w:val="21"/>
        </w:rPr>
      </w:pPr>
      <w:r>
        <w:rPr>
          <w:rFonts w:hint="eastAsia" w:ascii="宋体" w:hAnsi="宋体"/>
          <w:color w:val="auto"/>
          <w:szCs w:val="21"/>
        </w:rPr>
        <w:t xml:space="preserve">    （3）我方承诺按照招标文件规定向你方递交履约担保； </w:t>
      </w:r>
    </w:p>
    <w:p>
      <w:pPr>
        <w:spacing w:line="420" w:lineRule="exact"/>
        <w:contextualSpacing/>
        <w:rPr>
          <w:rFonts w:ascii="宋体" w:hAnsi="宋体"/>
          <w:color w:val="auto"/>
          <w:szCs w:val="21"/>
        </w:rPr>
      </w:pPr>
      <w:r>
        <w:rPr>
          <w:rFonts w:hint="eastAsia" w:ascii="宋体" w:hAnsi="宋体"/>
          <w:color w:val="auto"/>
          <w:szCs w:val="21"/>
        </w:rPr>
        <w:t xml:space="preserve">    （4）我方承诺在合同约定的期限内完成并移交全部合同工程。 </w:t>
      </w:r>
    </w:p>
    <w:p>
      <w:pPr>
        <w:spacing w:line="420" w:lineRule="exact"/>
        <w:ind w:firstLine="420" w:firstLineChars="200"/>
        <w:contextualSpacing/>
        <w:rPr>
          <w:rFonts w:ascii="宋体" w:hAnsi="宋体"/>
          <w:color w:val="auto"/>
          <w:szCs w:val="21"/>
        </w:rPr>
      </w:pPr>
      <w:r>
        <w:rPr>
          <w:rFonts w:hint="eastAsia" w:ascii="宋体" w:hAnsi="宋体"/>
          <w:color w:val="auto"/>
          <w:szCs w:val="21"/>
        </w:rPr>
        <w:t xml:space="preserve">5.我方在此声明，所递交的投标文件及有关资料内容完整、真实和准确，且不存在第2 章投标人须知第1.4.3款规定的任何一种情形。 </w:t>
      </w:r>
    </w:p>
    <w:p>
      <w:pPr>
        <w:spacing w:line="420" w:lineRule="exact"/>
        <w:ind w:firstLine="420" w:firstLineChars="200"/>
        <w:contextualSpacing/>
        <w:rPr>
          <w:rFonts w:ascii="宋体" w:hAnsi="宋体"/>
          <w:color w:val="auto"/>
          <w:szCs w:val="21"/>
        </w:rPr>
      </w:pPr>
      <w:r>
        <w:rPr>
          <w:rFonts w:hint="eastAsia" w:ascii="宋体" w:hAnsi="宋体"/>
          <w:color w:val="auto"/>
          <w:szCs w:val="21"/>
        </w:rPr>
        <w:t xml:space="preserve">6.（其它补充说明）。 </w:t>
      </w:r>
    </w:p>
    <w:p>
      <w:pPr>
        <w:spacing w:line="420" w:lineRule="exact"/>
        <w:contextualSpacing/>
        <w:rPr>
          <w:rFonts w:ascii="宋体" w:hAnsi="宋体"/>
          <w:color w:val="auto"/>
          <w:szCs w:val="21"/>
        </w:rPr>
      </w:pPr>
    </w:p>
    <w:p>
      <w:pPr>
        <w:spacing w:line="420" w:lineRule="exact"/>
        <w:contextualSpacing/>
        <w:jc w:val="right"/>
        <w:rPr>
          <w:rFonts w:ascii="宋体" w:hAnsi="宋体"/>
          <w:color w:val="auto"/>
          <w:szCs w:val="21"/>
        </w:rPr>
      </w:pPr>
    </w:p>
    <w:p>
      <w:pPr>
        <w:tabs>
          <w:tab w:val="left" w:pos="3828"/>
          <w:tab w:val="left" w:pos="4395"/>
        </w:tabs>
        <w:wordWrap w:val="0"/>
        <w:spacing w:line="420" w:lineRule="exact"/>
        <w:contextualSpacing/>
        <w:jc w:val="right"/>
        <w:rPr>
          <w:rFonts w:ascii="宋体" w:hAnsi="宋体"/>
          <w:color w:val="auto"/>
          <w:szCs w:val="21"/>
        </w:rPr>
      </w:pPr>
      <w:r>
        <w:rPr>
          <w:rFonts w:hint="eastAsia" w:ascii="宋体" w:hAnsi="宋体"/>
          <w:color w:val="auto"/>
          <w:szCs w:val="21"/>
        </w:rPr>
        <w:t xml:space="preserve">        投标人：（盖单位章） </w:t>
      </w:r>
    </w:p>
    <w:p>
      <w:pPr>
        <w:spacing w:line="420" w:lineRule="exact"/>
        <w:ind w:firstLine="718" w:firstLineChars="342"/>
        <w:contextualSpacing/>
        <w:rPr>
          <w:rFonts w:ascii="宋体" w:hAnsi="宋体"/>
          <w:color w:val="auto"/>
          <w:szCs w:val="21"/>
        </w:rPr>
      </w:pPr>
      <w:r>
        <w:rPr>
          <w:rFonts w:hint="eastAsia" w:ascii="宋体" w:hAnsi="宋体"/>
          <w:color w:val="auto"/>
          <w:szCs w:val="21"/>
        </w:rPr>
        <w:t xml:space="preserve">                                法定代表人或其授权代表：（签字） </w:t>
      </w:r>
    </w:p>
    <w:p>
      <w:pPr>
        <w:spacing w:line="420" w:lineRule="exact"/>
        <w:ind w:firstLine="718" w:firstLineChars="342"/>
        <w:contextualSpacing/>
        <w:rPr>
          <w:rFonts w:ascii="宋体" w:hAnsi="宋体"/>
          <w:color w:val="auto"/>
          <w:szCs w:val="21"/>
          <w:u w:val="single"/>
        </w:rPr>
      </w:pPr>
      <w:r>
        <w:rPr>
          <w:rFonts w:hint="eastAsia" w:ascii="宋体" w:hAnsi="宋体"/>
          <w:color w:val="auto"/>
          <w:szCs w:val="21"/>
        </w:rPr>
        <w:t xml:space="preserve">                                地       址：</w:t>
      </w:r>
    </w:p>
    <w:p>
      <w:pPr>
        <w:spacing w:line="420" w:lineRule="exact"/>
        <w:ind w:firstLine="718" w:firstLineChars="342"/>
        <w:contextualSpacing/>
        <w:rPr>
          <w:rFonts w:ascii="宋体" w:hAnsi="宋体"/>
          <w:color w:val="auto"/>
          <w:szCs w:val="21"/>
        </w:rPr>
      </w:pPr>
      <w:r>
        <w:rPr>
          <w:rFonts w:hint="eastAsia" w:ascii="宋体" w:hAnsi="宋体"/>
          <w:color w:val="auto"/>
          <w:szCs w:val="21"/>
        </w:rPr>
        <w:t xml:space="preserve">                                网       址：</w:t>
      </w:r>
    </w:p>
    <w:p>
      <w:pPr>
        <w:spacing w:line="420" w:lineRule="exact"/>
        <w:ind w:firstLine="718" w:firstLineChars="342"/>
        <w:contextualSpacing/>
        <w:rPr>
          <w:rFonts w:ascii="宋体" w:hAnsi="宋体"/>
          <w:color w:val="auto"/>
          <w:szCs w:val="21"/>
          <w:u w:val="single"/>
        </w:rPr>
      </w:pPr>
      <w:r>
        <w:rPr>
          <w:rFonts w:hint="eastAsia" w:ascii="宋体" w:hAnsi="宋体"/>
          <w:color w:val="auto"/>
          <w:szCs w:val="21"/>
        </w:rPr>
        <w:t xml:space="preserve">                                电       话：</w:t>
      </w:r>
    </w:p>
    <w:p>
      <w:pPr>
        <w:spacing w:line="420" w:lineRule="exact"/>
        <w:ind w:firstLine="718" w:firstLineChars="342"/>
        <w:contextualSpacing/>
        <w:rPr>
          <w:rFonts w:ascii="宋体" w:hAnsi="宋体"/>
          <w:color w:val="auto"/>
          <w:szCs w:val="21"/>
        </w:rPr>
      </w:pPr>
      <w:r>
        <w:rPr>
          <w:rFonts w:hint="eastAsia" w:ascii="宋体" w:hAnsi="宋体"/>
          <w:color w:val="auto"/>
          <w:szCs w:val="21"/>
        </w:rPr>
        <w:t xml:space="preserve">                                传       真：</w:t>
      </w:r>
    </w:p>
    <w:p>
      <w:pPr>
        <w:spacing w:line="420" w:lineRule="exact"/>
        <w:ind w:firstLine="718" w:firstLineChars="342"/>
        <w:contextualSpacing/>
        <w:rPr>
          <w:rFonts w:ascii="宋体" w:hAnsi="宋体"/>
          <w:color w:val="auto"/>
          <w:szCs w:val="21"/>
        </w:rPr>
      </w:pPr>
      <w:r>
        <w:rPr>
          <w:rFonts w:hint="eastAsia" w:ascii="宋体" w:hAnsi="宋体"/>
          <w:color w:val="auto"/>
          <w:szCs w:val="21"/>
        </w:rPr>
        <w:t xml:space="preserve">                                邮 政 编 码：</w:t>
      </w:r>
    </w:p>
    <w:p>
      <w:pPr>
        <w:spacing w:line="420" w:lineRule="exact"/>
        <w:contextualSpacing/>
        <w:rPr>
          <w:rFonts w:ascii="宋体" w:hAnsi="宋体"/>
          <w:color w:val="auto"/>
          <w:szCs w:val="21"/>
        </w:rPr>
      </w:pPr>
      <w:r>
        <w:rPr>
          <w:rFonts w:hint="eastAsia" w:ascii="宋体" w:hAnsi="宋体"/>
          <w:color w:val="auto"/>
          <w:szCs w:val="21"/>
        </w:rPr>
        <w:t>年月日</w:t>
      </w:r>
    </w:p>
    <w:p>
      <w:pPr>
        <w:jc w:val="center"/>
        <w:rPr>
          <w:b/>
          <w:color w:val="auto"/>
          <w:sz w:val="32"/>
          <w:szCs w:val="32"/>
        </w:rPr>
      </w:pPr>
      <w:r>
        <w:rPr>
          <w:rFonts w:ascii="宋体" w:hAnsi="宋体"/>
          <w:b/>
          <w:color w:val="auto"/>
          <w:szCs w:val="21"/>
        </w:rPr>
        <w:br w:type="page"/>
      </w:r>
      <w:r>
        <w:rPr>
          <w:rFonts w:hint="eastAsia"/>
          <w:b/>
          <w:color w:val="auto"/>
          <w:sz w:val="32"/>
          <w:szCs w:val="32"/>
        </w:rPr>
        <w:t>投标函附录</w:t>
      </w:r>
    </w:p>
    <w:tbl>
      <w:tblPr>
        <w:tblStyle w:val="19"/>
        <w:tblW w:w="0" w:type="auto"/>
        <w:tblInd w:w="0" w:type="dxa"/>
        <w:tblLayout w:type="fixed"/>
        <w:tblCellMar>
          <w:top w:w="0" w:type="dxa"/>
          <w:left w:w="108" w:type="dxa"/>
          <w:bottom w:w="0" w:type="dxa"/>
          <w:right w:w="108" w:type="dxa"/>
        </w:tblCellMar>
      </w:tblPr>
      <w:tblGrid>
        <w:gridCol w:w="674"/>
        <w:gridCol w:w="2695"/>
        <w:gridCol w:w="5974"/>
      </w:tblGrid>
      <w:tr>
        <w:tblPrEx>
          <w:tblCellMar>
            <w:top w:w="0" w:type="dxa"/>
            <w:left w:w="108" w:type="dxa"/>
            <w:bottom w:w="0" w:type="dxa"/>
            <w:right w:w="108" w:type="dxa"/>
          </w:tblCellMar>
        </w:tblPrEx>
        <w:trPr>
          <w:trHeight w:val="567" w:hRule="exact"/>
        </w:trPr>
        <w:tc>
          <w:tcPr>
            <w:tcW w:w="6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pacing w:val="2"/>
                <w:kern w:val="0"/>
                <w:szCs w:val="21"/>
              </w:rPr>
              <w:t>序号</w:t>
            </w:r>
          </w:p>
        </w:tc>
        <w:tc>
          <w:tcPr>
            <w:tcW w:w="8669" w:type="dxa"/>
            <w:gridSpan w:val="2"/>
            <w:tcBorders>
              <w:top w:val="single" w:color="auto" w:sz="6" w:space="0"/>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pacing w:val="2"/>
                <w:kern w:val="0"/>
                <w:szCs w:val="21"/>
              </w:rPr>
              <w:t>内容</w:t>
            </w:r>
          </w:p>
        </w:tc>
      </w:tr>
      <w:tr>
        <w:tblPrEx>
          <w:tblCellMar>
            <w:top w:w="0" w:type="dxa"/>
            <w:left w:w="108" w:type="dxa"/>
            <w:bottom w:w="0" w:type="dxa"/>
            <w:right w:w="108" w:type="dxa"/>
          </w:tblCellMar>
        </w:tblPrEx>
        <w:trPr>
          <w:trHeight w:val="567" w:hRule="atLeast"/>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tcBorders>
              <w:top w:val="single" w:color="auto" w:sz="6" w:space="0"/>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zCs w:val="21"/>
              </w:rPr>
              <w:t>企业资质等级</w:t>
            </w: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p>
        </w:tc>
      </w:tr>
      <w:tr>
        <w:tblPrEx>
          <w:tblCellMar>
            <w:top w:w="0" w:type="dxa"/>
            <w:left w:w="108" w:type="dxa"/>
            <w:bottom w:w="0" w:type="dxa"/>
            <w:right w:w="108" w:type="dxa"/>
          </w:tblCellMar>
        </w:tblPrEx>
        <w:trPr>
          <w:trHeight w:val="441" w:hRule="atLeast"/>
        </w:trPr>
        <w:tc>
          <w:tcPr>
            <w:tcW w:w="674" w:type="dxa"/>
            <w:vMerge w:val="restart"/>
            <w:tcBorders>
              <w:top w:val="single" w:color="auto" w:sz="6" w:space="0"/>
              <w:left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vMerge w:val="restart"/>
            <w:tcBorders>
              <w:top w:val="single" w:color="auto" w:sz="6" w:space="0"/>
              <w:left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pacing w:val="2"/>
                <w:kern w:val="0"/>
                <w:szCs w:val="21"/>
              </w:rPr>
              <w:t>项目负责人</w:t>
            </w: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leftChars="-43" w:firstLine="214" w:firstLineChars="100"/>
              <w:rPr>
                <w:rFonts w:ascii="宋体" w:hAnsi="宋体" w:cs="宋体"/>
                <w:color w:val="auto"/>
                <w:szCs w:val="21"/>
              </w:rPr>
            </w:pPr>
            <w:r>
              <w:rPr>
                <w:rFonts w:hint="eastAsia" w:ascii="宋体" w:hAnsi="宋体" w:cs="宋体"/>
                <w:color w:val="auto"/>
                <w:spacing w:val="2"/>
                <w:kern w:val="0"/>
                <w:szCs w:val="21"/>
              </w:rPr>
              <w:t>姓名：</w:t>
            </w:r>
          </w:p>
        </w:tc>
      </w:tr>
      <w:tr>
        <w:tblPrEx>
          <w:tblCellMar>
            <w:top w:w="0" w:type="dxa"/>
            <w:left w:w="108" w:type="dxa"/>
            <w:bottom w:w="0" w:type="dxa"/>
            <w:right w:w="108" w:type="dxa"/>
          </w:tblCellMar>
        </w:tblPrEx>
        <w:trPr>
          <w:trHeight w:val="461" w:hRule="atLeast"/>
        </w:trPr>
        <w:tc>
          <w:tcPr>
            <w:tcW w:w="674" w:type="dxa"/>
            <w:vMerge w:val="continue"/>
            <w:tcBorders>
              <w:left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vMerge w:val="continue"/>
            <w:tcBorders>
              <w:left w:val="single" w:color="auto" w:sz="6" w:space="0"/>
              <w:right w:val="single" w:color="auto" w:sz="6" w:space="0"/>
            </w:tcBorders>
            <w:vAlign w:val="center"/>
          </w:tcPr>
          <w:p>
            <w:pPr>
              <w:spacing w:line="480" w:lineRule="exact"/>
              <w:ind w:left="-90"/>
              <w:jc w:val="center"/>
              <w:rPr>
                <w:rFonts w:ascii="宋体" w:hAnsi="宋体" w:cs="宋体"/>
                <w:color w:val="auto"/>
                <w:spacing w:val="2"/>
                <w:kern w:val="0"/>
                <w:szCs w:val="21"/>
              </w:rPr>
            </w:pP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leftChars="-43" w:firstLine="214" w:firstLineChars="100"/>
              <w:rPr>
                <w:rFonts w:ascii="宋体" w:hAnsi="宋体" w:cs="宋体"/>
                <w:color w:val="auto"/>
                <w:spacing w:val="2"/>
                <w:kern w:val="0"/>
                <w:szCs w:val="21"/>
              </w:rPr>
            </w:pPr>
            <w:r>
              <w:rPr>
                <w:rFonts w:hint="eastAsia" w:ascii="宋体" w:hAnsi="宋体" w:cs="宋体"/>
                <w:color w:val="auto"/>
                <w:spacing w:val="2"/>
                <w:kern w:val="0"/>
                <w:szCs w:val="21"/>
              </w:rPr>
              <w:t>建造师专业：</w:t>
            </w:r>
          </w:p>
        </w:tc>
      </w:tr>
      <w:tr>
        <w:tblPrEx>
          <w:tblCellMar>
            <w:top w:w="0" w:type="dxa"/>
            <w:left w:w="108" w:type="dxa"/>
            <w:bottom w:w="0" w:type="dxa"/>
            <w:right w:w="108" w:type="dxa"/>
          </w:tblCellMar>
        </w:tblPrEx>
        <w:trPr>
          <w:trHeight w:val="438" w:hRule="atLeast"/>
        </w:trPr>
        <w:tc>
          <w:tcPr>
            <w:tcW w:w="674" w:type="dxa"/>
            <w:vMerge w:val="continue"/>
            <w:tcBorders>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vMerge w:val="continue"/>
            <w:tcBorders>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pacing w:val="2"/>
                <w:kern w:val="0"/>
                <w:szCs w:val="21"/>
              </w:rPr>
            </w:pP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leftChars="-43" w:firstLine="214" w:firstLineChars="100"/>
              <w:rPr>
                <w:rFonts w:ascii="宋体" w:hAnsi="宋体" w:cs="宋体"/>
                <w:color w:val="auto"/>
                <w:spacing w:val="2"/>
                <w:kern w:val="0"/>
                <w:szCs w:val="21"/>
              </w:rPr>
            </w:pPr>
            <w:r>
              <w:rPr>
                <w:rFonts w:hint="eastAsia" w:ascii="宋体" w:hAnsi="宋体" w:cs="宋体"/>
                <w:color w:val="auto"/>
                <w:spacing w:val="2"/>
                <w:kern w:val="0"/>
                <w:szCs w:val="21"/>
              </w:rPr>
              <w:t>建造师等级：</w:t>
            </w:r>
          </w:p>
        </w:tc>
      </w:tr>
      <w:tr>
        <w:tblPrEx>
          <w:tblCellMar>
            <w:top w:w="0" w:type="dxa"/>
            <w:left w:w="108" w:type="dxa"/>
            <w:bottom w:w="0" w:type="dxa"/>
            <w:right w:w="108" w:type="dxa"/>
          </w:tblCellMar>
        </w:tblPrEx>
        <w:trPr>
          <w:trHeight w:val="567" w:hRule="atLeast"/>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tcBorders>
              <w:top w:val="single" w:color="auto" w:sz="6" w:space="0"/>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pacing w:val="2"/>
                <w:kern w:val="0"/>
                <w:szCs w:val="21"/>
              </w:rPr>
              <w:t>投标报价</w:t>
            </w: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jc w:val="left"/>
              <w:rPr>
                <w:rFonts w:ascii="宋体" w:hAnsi="宋体" w:cs="宋体"/>
                <w:color w:val="auto"/>
                <w:szCs w:val="21"/>
              </w:rPr>
            </w:pPr>
            <w:r>
              <w:rPr>
                <w:rFonts w:hint="eastAsia" w:ascii="宋体" w:hAnsi="宋体"/>
                <w:color w:val="auto"/>
                <w:szCs w:val="21"/>
              </w:rPr>
              <w:t>总报价为大写：</w:t>
            </w:r>
            <w:r>
              <w:rPr>
                <w:rFonts w:hint="eastAsia" w:ascii="宋体" w:hAnsi="宋体"/>
                <w:color w:val="auto"/>
                <w:szCs w:val="21"/>
                <w:u w:val="single"/>
              </w:rPr>
              <w:t xml:space="preserve">             （小写：  </w:t>
            </w:r>
            <w:r>
              <w:rPr>
                <w:rFonts w:hint="eastAsia" w:ascii="宋体" w:hAnsi="宋体"/>
                <w:color w:val="auto"/>
                <w:szCs w:val="21"/>
              </w:rPr>
              <w:t>）</w:t>
            </w:r>
          </w:p>
        </w:tc>
      </w:tr>
      <w:tr>
        <w:tblPrEx>
          <w:tblCellMar>
            <w:top w:w="0" w:type="dxa"/>
            <w:left w:w="108" w:type="dxa"/>
            <w:bottom w:w="0" w:type="dxa"/>
            <w:right w:w="108" w:type="dxa"/>
          </w:tblCellMar>
        </w:tblPrEx>
        <w:trPr>
          <w:trHeight w:val="218" w:hRule="atLeast"/>
        </w:trPr>
        <w:tc>
          <w:tcPr>
            <w:tcW w:w="674" w:type="dxa"/>
            <w:vMerge w:val="restart"/>
            <w:tcBorders>
              <w:top w:val="single" w:color="auto" w:sz="6" w:space="0"/>
              <w:left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vMerge w:val="restart"/>
            <w:tcBorders>
              <w:top w:val="single" w:color="auto" w:sz="6" w:space="0"/>
              <w:left w:val="single" w:color="auto" w:sz="6" w:space="0"/>
              <w:right w:val="single" w:color="auto" w:sz="6" w:space="0"/>
            </w:tcBorders>
            <w:vAlign w:val="center"/>
          </w:tcPr>
          <w:p>
            <w:pPr>
              <w:spacing w:line="480" w:lineRule="exact"/>
              <w:ind w:left="-90"/>
              <w:jc w:val="center"/>
              <w:rPr>
                <w:rFonts w:ascii="宋体" w:hAnsi="宋体" w:cs="宋体"/>
                <w:color w:val="auto"/>
                <w:szCs w:val="21"/>
              </w:rPr>
            </w:pPr>
            <w:r>
              <w:rPr>
                <w:rFonts w:hint="eastAsia" w:ascii="宋体" w:hAnsi="宋体" w:cs="宋体"/>
                <w:color w:val="auto"/>
                <w:szCs w:val="21"/>
              </w:rPr>
              <w:t>投标保证金（人民币）</w:t>
            </w: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rPr>
                <w:rFonts w:ascii="宋体" w:hAnsi="宋体" w:cs="宋体"/>
                <w:color w:val="auto"/>
                <w:szCs w:val="21"/>
              </w:rPr>
            </w:pPr>
            <w:r>
              <w:rPr>
                <w:rFonts w:hint="eastAsia" w:ascii="宋体" w:hAnsi="宋体" w:cs="宋体"/>
                <w:color w:val="auto"/>
                <w:szCs w:val="21"/>
              </w:rPr>
              <w:t>　数额：　　　　万元</w:t>
            </w:r>
          </w:p>
        </w:tc>
      </w:tr>
      <w:tr>
        <w:tblPrEx>
          <w:tblCellMar>
            <w:top w:w="0" w:type="dxa"/>
            <w:left w:w="108" w:type="dxa"/>
            <w:bottom w:w="0" w:type="dxa"/>
            <w:right w:w="108" w:type="dxa"/>
          </w:tblCellMar>
        </w:tblPrEx>
        <w:trPr>
          <w:trHeight w:val="217" w:hRule="atLeast"/>
        </w:trPr>
        <w:tc>
          <w:tcPr>
            <w:tcW w:w="674" w:type="dxa"/>
            <w:vMerge w:val="continue"/>
            <w:tcBorders>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vMerge w:val="continue"/>
            <w:tcBorders>
              <w:left w:val="single" w:color="auto" w:sz="6" w:space="0"/>
              <w:bottom w:val="single" w:color="auto" w:sz="6" w:space="0"/>
              <w:right w:val="single" w:color="auto" w:sz="6" w:space="0"/>
            </w:tcBorders>
            <w:vAlign w:val="center"/>
          </w:tcPr>
          <w:p>
            <w:pPr>
              <w:spacing w:line="480" w:lineRule="exact"/>
              <w:ind w:left="-90"/>
              <w:jc w:val="center"/>
              <w:rPr>
                <w:rFonts w:ascii="宋体" w:hAnsi="宋体" w:cs="宋体"/>
                <w:color w:val="auto"/>
                <w:szCs w:val="21"/>
              </w:rPr>
            </w:pPr>
          </w:p>
        </w:tc>
        <w:tc>
          <w:tcPr>
            <w:tcW w:w="5974" w:type="dxa"/>
            <w:tcBorders>
              <w:top w:val="single" w:color="auto" w:sz="6" w:space="0"/>
              <w:left w:val="single" w:color="auto" w:sz="6" w:space="0"/>
              <w:bottom w:val="single" w:color="auto" w:sz="6" w:space="0"/>
              <w:right w:val="single" w:color="auto" w:sz="6" w:space="0"/>
            </w:tcBorders>
            <w:vAlign w:val="center"/>
          </w:tcPr>
          <w:p>
            <w:pPr>
              <w:spacing w:line="480" w:lineRule="exact"/>
              <w:ind w:left="-90" w:leftChars="-43" w:firstLine="210" w:firstLineChars="100"/>
              <w:rPr>
                <w:rFonts w:ascii="宋体" w:hAnsi="宋体" w:cs="宋体"/>
                <w:color w:val="auto"/>
                <w:szCs w:val="21"/>
              </w:rPr>
            </w:pPr>
            <w:r>
              <w:rPr>
                <w:rFonts w:hint="eastAsia" w:ascii="宋体" w:hAnsi="宋体" w:cs="宋体"/>
                <w:color w:val="auto"/>
                <w:szCs w:val="21"/>
              </w:rPr>
              <w:t>方</w:t>
            </w:r>
            <w:r>
              <w:rPr>
                <w:rFonts w:hint="eastAsia" w:ascii="宋体" w:hAnsi="宋体"/>
                <w:color w:val="auto"/>
                <w:kern w:val="0"/>
                <w:szCs w:val="21"/>
              </w:rPr>
              <w:t>式：</w:t>
            </w:r>
          </w:p>
        </w:tc>
      </w:tr>
      <w:tr>
        <w:tblPrEx>
          <w:tblCellMar>
            <w:top w:w="0" w:type="dxa"/>
            <w:left w:w="108" w:type="dxa"/>
            <w:bottom w:w="0" w:type="dxa"/>
            <w:right w:w="108" w:type="dxa"/>
          </w:tblCellMar>
        </w:tblPrEx>
        <w:trPr>
          <w:trHeight w:val="217" w:hRule="atLeast"/>
        </w:trPr>
        <w:tc>
          <w:tcPr>
            <w:tcW w:w="674" w:type="dxa"/>
            <w:tcBorders>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tcBorders>
              <w:left w:val="single" w:color="auto" w:sz="6" w:space="0"/>
              <w:bottom w:val="single" w:color="auto" w:sz="6" w:space="0"/>
              <w:right w:val="single" w:color="auto" w:sz="6" w:space="0"/>
            </w:tcBorders>
            <w:vAlign w:val="center"/>
          </w:tcPr>
          <w:p>
            <w:pPr>
              <w:spacing w:line="420" w:lineRule="exact"/>
              <w:contextualSpacing/>
              <w:jc w:val="center"/>
              <w:rPr>
                <w:color w:val="auto"/>
              </w:rPr>
            </w:pPr>
            <w:r>
              <w:rPr>
                <w:rFonts w:hint="eastAsia"/>
                <w:color w:val="auto"/>
              </w:rPr>
              <w:t>招标范围</w:t>
            </w:r>
          </w:p>
        </w:tc>
        <w:tc>
          <w:tcPr>
            <w:tcW w:w="5974" w:type="dxa"/>
            <w:tcBorders>
              <w:top w:val="single" w:color="auto" w:sz="6" w:space="0"/>
              <w:left w:val="single" w:color="auto" w:sz="6" w:space="0"/>
              <w:bottom w:val="single" w:color="auto" w:sz="6" w:space="0"/>
              <w:right w:val="single" w:color="auto" w:sz="6" w:space="0"/>
            </w:tcBorders>
          </w:tcPr>
          <w:p>
            <w:pPr>
              <w:spacing w:line="420" w:lineRule="exact"/>
              <w:contextualSpacing/>
              <w:rPr>
                <w:color w:val="auto"/>
              </w:rPr>
            </w:pPr>
            <w:r>
              <w:rPr>
                <w:rFonts w:hint="eastAsia"/>
                <w:color w:val="auto"/>
              </w:rPr>
              <w:t>满足招标文件要求</w:t>
            </w:r>
          </w:p>
        </w:tc>
      </w:tr>
      <w:tr>
        <w:tblPrEx>
          <w:tblCellMar>
            <w:top w:w="0" w:type="dxa"/>
            <w:left w:w="108" w:type="dxa"/>
            <w:bottom w:w="0" w:type="dxa"/>
            <w:right w:w="108" w:type="dxa"/>
          </w:tblCellMar>
        </w:tblPrEx>
        <w:trPr>
          <w:trHeight w:val="567" w:hRule="exact"/>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tcBorders>
              <w:top w:val="single" w:color="auto" w:sz="6" w:space="0"/>
              <w:left w:val="single" w:color="auto" w:sz="6" w:space="0"/>
              <w:bottom w:val="single" w:color="auto" w:sz="6" w:space="0"/>
              <w:right w:val="single" w:color="auto" w:sz="6" w:space="0"/>
            </w:tcBorders>
            <w:vAlign w:val="center"/>
          </w:tcPr>
          <w:p>
            <w:pPr>
              <w:spacing w:line="420" w:lineRule="exact"/>
              <w:contextualSpacing/>
              <w:jc w:val="center"/>
              <w:rPr>
                <w:color w:val="auto"/>
              </w:rPr>
            </w:pPr>
            <w:r>
              <w:rPr>
                <w:rFonts w:hint="eastAsia"/>
                <w:color w:val="auto"/>
              </w:rPr>
              <w:t>计划工期</w:t>
            </w:r>
          </w:p>
        </w:tc>
        <w:tc>
          <w:tcPr>
            <w:tcW w:w="5974" w:type="dxa"/>
            <w:tcBorders>
              <w:top w:val="single" w:color="auto" w:sz="6" w:space="0"/>
              <w:left w:val="single" w:color="auto" w:sz="6" w:space="0"/>
              <w:bottom w:val="single" w:color="auto" w:sz="6" w:space="0"/>
              <w:right w:val="single" w:color="auto" w:sz="6" w:space="0"/>
            </w:tcBorders>
          </w:tcPr>
          <w:p>
            <w:pPr>
              <w:spacing w:line="420" w:lineRule="exact"/>
              <w:contextualSpacing/>
              <w:rPr>
                <w:color w:val="auto"/>
              </w:rPr>
            </w:pPr>
            <w:r>
              <w:rPr>
                <w:rFonts w:hint="eastAsia"/>
                <w:color w:val="auto"/>
              </w:rPr>
              <w:t>满足招标文件要求</w:t>
            </w:r>
          </w:p>
        </w:tc>
      </w:tr>
      <w:tr>
        <w:tblPrEx>
          <w:tblCellMar>
            <w:top w:w="0" w:type="dxa"/>
            <w:left w:w="108" w:type="dxa"/>
            <w:bottom w:w="0" w:type="dxa"/>
            <w:right w:w="108" w:type="dxa"/>
          </w:tblCellMar>
        </w:tblPrEx>
        <w:trPr>
          <w:trHeight w:val="567" w:hRule="exact"/>
        </w:trPr>
        <w:tc>
          <w:tcPr>
            <w:tcW w:w="674" w:type="dxa"/>
            <w:tcBorders>
              <w:top w:val="single" w:color="auto" w:sz="6" w:space="0"/>
              <w:left w:val="single" w:color="auto" w:sz="6" w:space="0"/>
              <w:bottom w:val="single" w:color="auto" w:sz="6" w:space="0"/>
              <w:right w:val="single" w:color="auto" w:sz="6" w:space="0"/>
            </w:tcBorders>
            <w:vAlign w:val="center"/>
          </w:tcPr>
          <w:p>
            <w:pPr>
              <w:numPr>
                <w:ilvl w:val="0"/>
                <w:numId w:val="13"/>
              </w:numPr>
              <w:spacing w:line="480" w:lineRule="exact"/>
              <w:jc w:val="center"/>
              <w:rPr>
                <w:rFonts w:ascii="宋体" w:hAnsi="宋体" w:cs="宋体"/>
                <w:color w:val="auto"/>
                <w:szCs w:val="21"/>
              </w:rPr>
            </w:pPr>
          </w:p>
        </w:tc>
        <w:tc>
          <w:tcPr>
            <w:tcW w:w="2695" w:type="dxa"/>
            <w:tcBorders>
              <w:top w:val="single" w:color="auto" w:sz="6" w:space="0"/>
              <w:left w:val="single" w:color="auto" w:sz="6" w:space="0"/>
              <w:bottom w:val="single" w:color="auto" w:sz="6" w:space="0"/>
              <w:right w:val="single" w:color="auto" w:sz="6" w:space="0"/>
            </w:tcBorders>
            <w:vAlign w:val="center"/>
          </w:tcPr>
          <w:p>
            <w:pPr>
              <w:spacing w:line="420" w:lineRule="exact"/>
              <w:contextualSpacing/>
              <w:jc w:val="center"/>
              <w:rPr>
                <w:color w:val="auto"/>
              </w:rPr>
            </w:pPr>
            <w:r>
              <w:rPr>
                <w:rFonts w:hint="eastAsia"/>
                <w:color w:val="auto"/>
              </w:rPr>
              <w:t>质量要求</w:t>
            </w:r>
          </w:p>
        </w:tc>
        <w:tc>
          <w:tcPr>
            <w:tcW w:w="5974" w:type="dxa"/>
            <w:tcBorders>
              <w:top w:val="single" w:color="auto" w:sz="6" w:space="0"/>
              <w:left w:val="single" w:color="auto" w:sz="6" w:space="0"/>
              <w:bottom w:val="single" w:color="auto" w:sz="6" w:space="0"/>
              <w:right w:val="single" w:color="auto" w:sz="6" w:space="0"/>
            </w:tcBorders>
          </w:tcPr>
          <w:p>
            <w:pPr>
              <w:spacing w:line="420" w:lineRule="exact"/>
              <w:contextualSpacing/>
              <w:rPr>
                <w:color w:val="auto"/>
              </w:rPr>
            </w:pPr>
            <w:r>
              <w:rPr>
                <w:rFonts w:hint="eastAsia"/>
                <w:color w:val="auto"/>
              </w:rPr>
              <w:t>达到国家现行有关工程规范、规程和标准</w:t>
            </w:r>
          </w:p>
        </w:tc>
      </w:tr>
    </w:tbl>
    <w:p>
      <w:pPr>
        <w:jc w:val="left"/>
        <w:rPr>
          <w:rFonts w:ascii="宋体" w:hAnsi="宋体"/>
          <w:b/>
          <w:color w:val="auto"/>
          <w:sz w:val="32"/>
          <w:szCs w:val="32"/>
        </w:rPr>
      </w:pPr>
      <w:r>
        <w:rPr>
          <w:rFonts w:hint="eastAsia" w:ascii="宋体" w:hAnsi="宋体"/>
          <w:b/>
          <w:color w:val="auto"/>
          <w:szCs w:val="21"/>
        </w:rPr>
        <w:t>注：施工报价采用综合单价报价方式，须附上报价清单；最终报价应调整综合单价合计总价。</w:t>
      </w:r>
    </w:p>
    <w:p>
      <w:pPr>
        <w:pStyle w:val="13"/>
        <w:ind w:left="420"/>
        <w:rPr>
          <w:rFonts w:ascii="宋体" w:hAnsi="宋体"/>
          <w:color w:val="auto"/>
        </w:rPr>
      </w:pPr>
      <w:bookmarkStart w:id="167" w:name="_Toc256773235"/>
      <w:bookmarkStart w:id="168" w:name="_Toc263413234"/>
      <w:r>
        <w:rPr>
          <w:rFonts w:ascii="宋体" w:hAnsi="宋体"/>
          <w:b w:val="0"/>
          <w:color w:val="auto"/>
        </w:rPr>
        <w:br w:type="page"/>
      </w:r>
      <w:bookmarkStart w:id="169" w:name="_Toc518908464"/>
      <w:bookmarkStart w:id="170" w:name="_Toc433215197"/>
      <w:bookmarkStart w:id="171" w:name="_Toc518893841"/>
      <w:bookmarkStart w:id="172" w:name="_Toc434396996"/>
      <w:r>
        <w:rPr>
          <w:rFonts w:hint="eastAsia"/>
          <w:color w:val="auto"/>
        </w:rPr>
        <w:t>法定代表人</w:t>
      </w:r>
      <w:bookmarkEnd w:id="167"/>
      <w:bookmarkEnd w:id="168"/>
      <w:r>
        <w:rPr>
          <w:rFonts w:hint="eastAsia"/>
          <w:color w:val="auto"/>
        </w:rPr>
        <w:t>证明书</w:t>
      </w:r>
      <w:bookmarkEnd w:id="169"/>
      <w:bookmarkEnd w:id="170"/>
      <w:bookmarkEnd w:id="171"/>
      <w:bookmarkEnd w:id="172"/>
    </w:p>
    <w:p>
      <w:pPr>
        <w:spacing w:line="480" w:lineRule="exact"/>
        <w:rPr>
          <w:rFonts w:ascii="宋体" w:hAnsi="宋体"/>
          <w:color w:val="auto"/>
          <w:szCs w:val="21"/>
        </w:rPr>
      </w:pPr>
    </w:p>
    <w:p>
      <w:pPr>
        <w:spacing w:line="420" w:lineRule="exact"/>
        <w:contextualSpacing/>
        <w:rPr>
          <w:rFonts w:ascii="宋体" w:hAnsi="宋体"/>
          <w:color w:val="auto"/>
          <w:szCs w:val="21"/>
          <w:u w:val="single"/>
        </w:rPr>
      </w:pPr>
      <w:r>
        <w:rPr>
          <w:rFonts w:ascii="宋体" w:hAnsi="宋体"/>
          <w:color w:val="auto"/>
          <w:szCs w:val="21"/>
        </w:rPr>
        <w:t>投标人名称：</w:t>
      </w:r>
    </w:p>
    <w:p>
      <w:pPr>
        <w:spacing w:line="420" w:lineRule="exact"/>
        <w:contextualSpacing/>
        <w:rPr>
          <w:rFonts w:ascii="宋体" w:hAnsi="宋体"/>
          <w:color w:val="auto"/>
          <w:szCs w:val="21"/>
        </w:rPr>
      </w:pPr>
      <w:r>
        <w:rPr>
          <w:rFonts w:ascii="宋体" w:hAnsi="宋体"/>
          <w:color w:val="auto"/>
          <w:szCs w:val="21"/>
        </w:rPr>
        <w:t>单位性质：</w:t>
      </w:r>
    </w:p>
    <w:p>
      <w:pPr>
        <w:spacing w:line="420" w:lineRule="exact"/>
        <w:contextualSpacing/>
        <w:rPr>
          <w:rFonts w:ascii="宋体" w:hAnsi="宋体"/>
          <w:color w:val="auto"/>
          <w:szCs w:val="21"/>
          <w:u w:val="single"/>
        </w:rPr>
      </w:pPr>
      <w:r>
        <w:rPr>
          <w:rFonts w:ascii="宋体" w:hAnsi="宋体"/>
          <w:color w:val="auto"/>
          <w:szCs w:val="21"/>
        </w:rPr>
        <w:t>地址：</w:t>
      </w:r>
    </w:p>
    <w:p>
      <w:pPr>
        <w:spacing w:line="420" w:lineRule="exact"/>
        <w:contextualSpacing/>
        <w:rPr>
          <w:rFonts w:ascii="宋体" w:hAnsi="宋体"/>
          <w:color w:val="auto"/>
          <w:szCs w:val="21"/>
        </w:rPr>
      </w:pPr>
      <w:r>
        <w:rPr>
          <w:rFonts w:ascii="宋体" w:hAnsi="宋体"/>
          <w:color w:val="auto"/>
          <w:szCs w:val="21"/>
        </w:rPr>
        <w:t xml:space="preserve">成立时间：年月日 </w:t>
      </w:r>
    </w:p>
    <w:p>
      <w:pPr>
        <w:spacing w:line="420" w:lineRule="exact"/>
        <w:contextualSpacing/>
        <w:rPr>
          <w:rFonts w:ascii="宋体" w:hAnsi="宋体"/>
          <w:color w:val="auto"/>
          <w:szCs w:val="21"/>
          <w:u w:val="single"/>
        </w:rPr>
      </w:pPr>
      <w:r>
        <w:rPr>
          <w:rFonts w:ascii="宋体" w:hAnsi="宋体"/>
          <w:color w:val="auto"/>
          <w:szCs w:val="21"/>
        </w:rPr>
        <w:t>经营期限：</w:t>
      </w:r>
    </w:p>
    <w:p>
      <w:pPr>
        <w:spacing w:line="420" w:lineRule="exact"/>
        <w:contextualSpacing/>
        <w:rPr>
          <w:rFonts w:ascii="宋体" w:hAnsi="宋体"/>
          <w:color w:val="auto"/>
          <w:szCs w:val="21"/>
        </w:rPr>
      </w:pPr>
      <w:r>
        <w:rPr>
          <w:rFonts w:ascii="宋体" w:hAnsi="宋体"/>
          <w:color w:val="auto"/>
          <w:szCs w:val="21"/>
        </w:rPr>
        <w:t>姓名： 性别： 年龄： 身份证号码：</w:t>
      </w:r>
    </w:p>
    <w:p>
      <w:pPr>
        <w:spacing w:line="420" w:lineRule="exact"/>
        <w:contextualSpacing/>
        <w:rPr>
          <w:rFonts w:ascii="宋体" w:hAnsi="宋体"/>
          <w:color w:val="auto"/>
          <w:szCs w:val="21"/>
        </w:rPr>
      </w:pPr>
      <w:r>
        <w:rPr>
          <w:rFonts w:ascii="宋体" w:hAnsi="宋体"/>
          <w:color w:val="auto"/>
          <w:szCs w:val="21"/>
        </w:rPr>
        <w:t xml:space="preserve">职务：系（投标人名称）的法定代表人。 </w:t>
      </w:r>
    </w:p>
    <w:p>
      <w:pPr>
        <w:spacing w:line="420" w:lineRule="exact"/>
        <w:contextualSpacing/>
        <w:rPr>
          <w:rFonts w:ascii="宋体" w:hAnsi="宋体"/>
          <w:color w:val="auto"/>
          <w:szCs w:val="21"/>
        </w:rPr>
      </w:pPr>
      <w:r>
        <w:rPr>
          <w:rFonts w:ascii="宋体" w:hAnsi="宋体"/>
          <w:color w:val="auto"/>
          <w:szCs w:val="21"/>
        </w:rPr>
        <w:t xml:space="preserve">    特此证明。 </w:t>
      </w:r>
    </w:p>
    <w:p>
      <w:pPr>
        <w:spacing w:line="420" w:lineRule="exact"/>
        <w:contextualSpacing/>
        <w:rPr>
          <w:rFonts w:ascii="宋体" w:hAnsi="宋体"/>
          <w:color w:val="auto"/>
          <w:szCs w:val="21"/>
        </w:rPr>
      </w:pPr>
      <w:r>
        <w:rPr>
          <w:rFonts w:hint="eastAsia" w:ascii="宋体" w:hAnsi="宋体"/>
          <w:color w:val="auto"/>
          <w:szCs w:val="21"/>
        </w:rPr>
        <w:t>附：法定代表人身份证复印件</w:t>
      </w: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jc w:val="right"/>
        <w:rPr>
          <w:rFonts w:ascii="宋体" w:hAnsi="宋体"/>
          <w:color w:val="auto"/>
          <w:szCs w:val="21"/>
        </w:rPr>
      </w:pPr>
      <w:r>
        <w:rPr>
          <w:rFonts w:ascii="宋体" w:hAnsi="宋体"/>
          <w:color w:val="auto"/>
          <w:szCs w:val="21"/>
        </w:rPr>
        <w:t xml:space="preserve">                                    投标人：（盖单位章） </w:t>
      </w:r>
    </w:p>
    <w:p>
      <w:pPr>
        <w:spacing w:line="480" w:lineRule="exact"/>
        <w:jc w:val="right"/>
        <w:rPr>
          <w:rFonts w:ascii="宋体" w:hAnsi="宋体"/>
          <w:color w:val="auto"/>
          <w:szCs w:val="21"/>
        </w:rPr>
      </w:pPr>
    </w:p>
    <w:p>
      <w:pPr>
        <w:spacing w:line="480" w:lineRule="exact"/>
        <w:jc w:val="right"/>
        <w:rPr>
          <w:rFonts w:ascii="宋体" w:hAnsi="宋体"/>
          <w:color w:val="auto"/>
          <w:szCs w:val="21"/>
        </w:rPr>
      </w:pPr>
      <w:r>
        <w:rPr>
          <w:rFonts w:ascii="宋体" w:hAnsi="宋体"/>
          <w:color w:val="auto"/>
          <w:szCs w:val="21"/>
        </w:rPr>
        <w:t>年月日</w:t>
      </w:r>
    </w:p>
    <w:p>
      <w:pPr>
        <w:spacing w:line="480" w:lineRule="exact"/>
        <w:jc w:val="right"/>
        <w:rPr>
          <w:rFonts w:ascii="宋体" w:hAnsi="宋体"/>
          <w:color w:val="auto"/>
          <w:sz w:val="24"/>
        </w:rPr>
      </w:pPr>
    </w:p>
    <w:p>
      <w:pPr>
        <w:spacing w:line="480" w:lineRule="exact"/>
        <w:rPr>
          <w:rFonts w:ascii="宋体" w:hAnsi="宋体"/>
          <w:color w:val="auto"/>
          <w:sz w:val="24"/>
        </w:rPr>
      </w:pPr>
    </w:p>
    <w:p>
      <w:pPr>
        <w:rPr>
          <w:rFonts w:ascii="宋体" w:hAnsi="宋体"/>
          <w:color w:val="auto"/>
          <w:sz w:val="24"/>
        </w:rPr>
      </w:pPr>
    </w:p>
    <w:p>
      <w:pPr>
        <w:pStyle w:val="13"/>
        <w:ind w:left="420"/>
        <w:rPr>
          <w:rFonts w:ascii="宋体" w:hAnsi="宋体"/>
          <w:color w:val="auto"/>
        </w:rPr>
      </w:pPr>
      <w:bookmarkStart w:id="173" w:name="_Toc256773236"/>
      <w:bookmarkStart w:id="174" w:name="_Toc263413235"/>
      <w:r>
        <w:rPr>
          <w:rFonts w:ascii="宋体" w:hAnsi="宋体"/>
          <w:b w:val="0"/>
          <w:color w:val="auto"/>
          <w:sz w:val="24"/>
        </w:rPr>
        <w:br w:type="page"/>
      </w:r>
      <w:bookmarkStart w:id="175" w:name="_Toc434396997"/>
      <w:bookmarkStart w:id="176" w:name="_Toc518908465"/>
      <w:bookmarkStart w:id="177" w:name="_Toc518893842"/>
      <w:bookmarkStart w:id="178" w:name="_Toc433215198"/>
      <w:r>
        <w:rPr>
          <w:rFonts w:hint="eastAsia"/>
          <w:color w:val="auto"/>
        </w:rPr>
        <w:t>授权委托书</w:t>
      </w:r>
      <w:bookmarkEnd w:id="173"/>
      <w:bookmarkEnd w:id="174"/>
      <w:bookmarkEnd w:id="175"/>
      <w:bookmarkEnd w:id="176"/>
      <w:bookmarkEnd w:id="177"/>
      <w:bookmarkEnd w:id="178"/>
    </w:p>
    <w:p>
      <w:pPr>
        <w:spacing w:line="480" w:lineRule="exact"/>
        <w:rPr>
          <w:rFonts w:ascii="宋体" w:hAnsi="宋体"/>
          <w:color w:val="auto"/>
          <w:szCs w:val="21"/>
        </w:rPr>
      </w:pPr>
    </w:p>
    <w:p>
      <w:pPr>
        <w:spacing w:line="480" w:lineRule="exact"/>
        <w:rPr>
          <w:rFonts w:ascii="宋体" w:hAnsi="宋体"/>
          <w:color w:val="auto"/>
          <w:szCs w:val="21"/>
        </w:rPr>
      </w:pPr>
    </w:p>
    <w:p>
      <w:pPr>
        <w:spacing w:line="420" w:lineRule="exact"/>
        <w:ind w:firstLine="435"/>
        <w:contextualSpacing/>
        <w:rPr>
          <w:rFonts w:ascii="宋体" w:hAnsi="宋体"/>
          <w:color w:val="auto"/>
          <w:szCs w:val="21"/>
        </w:rPr>
      </w:pPr>
      <w:r>
        <w:rPr>
          <w:rFonts w:hint="eastAsia" w:ascii="宋体" w:hAnsi="宋体"/>
          <w:color w:val="auto"/>
          <w:szCs w:val="21"/>
        </w:rPr>
        <w:t xml:space="preserve">本人 （姓名）系（投标人名称）的法定代表人，现委托 </w:t>
      </w:r>
      <w:r>
        <w:rPr>
          <w:rFonts w:hint="eastAsia" w:ascii="宋体" w:hAnsi="宋体"/>
          <w:color w:val="auto"/>
          <w:szCs w:val="21"/>
          <w:u w:val="single"/>
        </w:rPr>
        <w:t xml:space="preserve">          （姓名）</w:t>
      </w:r>
      <w:r>
        <w:rPr>
          <w:rFonts w:hint="eastAsia" w:ascii="宋体" w:hAnsi="宋体"/>
          <w:color w:val="auto"/>
          <w:szCs w:val="21"/>
        </w:rPr>
        <w:t>为我方代理人。代理人根据授权，以我方名义签署、澄清、说明、补 正、递交、撤回、修改</w:t>
      </w:r>
      <w:r>
        <w:rPr>
          <w:rFonts w:hint="eastAsia" w:ascii="宋体" w:hAnsi="宋体" w:cs="黑体"/>
          <w:color w:val="auto"/>
          <w:szCs w:val="21"/>
          <w:u w:val="single"/>
        </w:rPr>
        <w:t>乳源电化厂1回合化工II线线路迁改工程</w:t>
      </w:r>
      <w:r>
        <w:rPr>
          <w:rFonts w:hint="eastAsia" w:ascii="宋体" w:hAnsi="宋体"/>
          <w:color w:val="auto"/>
          <w:szCs w:val="21"/>
        </w:rPr>
        <w:t xml:space="preserve">投标文件、签订合同和处理有关事宜，其法律后果由我方承担。 </w:t>
      </w:r>
    </w:p>
    <w:p>
      <w:pPr>
        <w:spacing w:line="420" w:lineRule="exact"/>
        <w:contextualSpacing/>
        <w:rPr>
          <w:rFonts w:ascii="宋体" w:hAnsi="宋体"/>
          <w:color w:val="auto"/>
          <w:szCs w:val="21"/>
        </w:rPr>
      </w:pPr>
      <w:r>
        <w:rPr>
          <w:rFonts w:hint="eastAsia" w:ascii="宋体" w:hAnsi="宋体"/>
          <w:color w:val="auto"/>
          <w:szCs w:val="21"/>
        </w:rPr>
        <w:t xml:space="preserve">    委托期限：。 </w:t>
      </w:r>
    </w:p>
    <w:p>
      <w:pPr>
        <w:spacing w:line="420" w:lineRule="exact"/>
        <w:contextualSpacing/>
        <w:rPr>
          <w:rFonts w:ascii="宋体" w:hAnsi="宋体"/>
          <w:color w:val="auto"/>
          <w:szCs w:val="21"/>
        </w:rPr>
      </w:pPr>
      <w:r>
        <w:rPr>
          <w:rFonts w:hint="eastAsia" w:ascii="宋体" w:hAnsi="宋体"/>
          <w:color w:val="auto"/>
          <w:szCs w:val="21"/>
        </w:rPr>
        <w:t xml:space="preserve">    代理人无转委托权。 </w:t>
      </w:r>
    </w:p>
    <w:p>
      <w:pPr>
        <w:spacing w:line="420" w:lineRule="exact"/>
        <w:contextualSpacing/>
        <w:rPr>
          <w:rFonts w:ascii="宋体" w:hAnsi="宋体"/>
          <w:color w:val="auto"/>
          <w:szCs w:val="21"/>
        </w:rPr>
      </w:pPr>
      <w:r>
        <w:rPr>
          <w:rFonts w:hint="eastAsia" w:ascii="宋体" w:hAnsi="宋体"/>
          <w:color w:val="auto"/>
          <w:szCs w:val="21"/>
        </w:rPr>
        <w:t xml:space="preserve">    附：法定代表人证明书、授权代表身份证复印件</w:t>
      </w: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80" w:lineRule="exact"/>
        <w:rPr>
          <w:rFonts w:ascii="宋体" w:hAnsi="宋体"/>
          <w:color w:val="auto"/>
          <w:szCs w:val="21"/>
        </w:rPr>
      </w:pPr>
    </w:p>
    <w:p>
      <w:pPr>
        <w:spacing w:line="420" w:lineRule="exact"/>
        <w:contextualSpacing/>
        <w:rPr>
          <w:rFonts w:ascii="宋体" w:hAnsi="宋体"/>
          <w:color w:val="auto"/>
          <w:szCs w:val="21"/>
        </w:rPr>
      </w:pPr>
      <w:r>
        <w:rPr>
          <w:rFonts w:hint="eastAsia" w:ascii="宋体" w:hAnsi="宋体"/>
          <w:color w:val="auto"/>
          <w:szCs w:val="21"/>
        </w:rPr>
        <w:t xml:space="preserve">                                   投标人：（盖单位章） </w:t>
      </w:r>
    </w:p>
    <w:p>
      <w:pPr>
        <w:spacing w:line="420" w:lineRule="exact"/>
        <w:contextualSpacing/>
        <w:rPr>
          <w:rFonts w:ascii="宋体" w:hAnsi="宋体"/>
          <w:color w:val="auto"/>
          <w:szCs w:val="21"/>
        </w:rPr>
      </w:pPr>
      <w:r>
        <w:rPr>
          <w:rFonts w:hint="eastAsia" w:ascii="宋体" w:hAnsi="宋体"/>
          <w:color w:val="auto"/>
          <w:szCs w:val="21"/>
        </w:rPr>
        <w:t xml:space="preserve">                                   法定代表人：（签字） </w:t>
      </w:r>
    </w:p>
    <w:p>
      <w:pPr>
        <w:spacing w:line="420" w:lineRule="exact"/>
        <w:contextualSpacing/>
        <w:rPr>
          <w:rFonts w:ascii="宋体" w:hAnsi="宋体"/>
          <w:color w:val="auto"/>
          <w:szCs w:val="21"/>
          <w:u w:val="single"/>
        </w:rPr>
      </w:pPr>
      <w:r>
        <w:rPr>
          <w:rFonts w:hint="eastAsia" w:ascii="宋体" w:hAnsi="宋体"/>
          <w:color w:val="auto"/>
          <w:szCs w:val="21"/>
        </w:rPr>
        <w:t xml:space="preserve">                                   身份证号码：</w:t>
      </w:r>
    </w:p>
    <w:p>
      <w:pPr>
        <w:spacing w:line="420" w:lineRule="exact"/>
        <w:contextualSpacing/>
        <w:rPr>
          <w:rFonts w:ascii="宋体" w:hAnsi="宋体"/>
          <w:color w:val="auto"/>
          <w:szCs w:val="21"/>
        </w:rPr>
      </w:pPr>
      <w:r>
        <w:rPr>
          <w:rFonts w:hint="eastAsia" w:ascii="宋体" w:hAnsi="宋体"/>
          <w:color w:val="auto"/>
          <w:szCs w:val="21"/>
        </w:rPr>
        <w:t xml:space="preserve">授权代表：（签字） </w:t>
      </w:r>
    </w:p>
    <w:p>
      <w:pPr>
        <w:spacing w:line="420" w:lineRule="exact"/>
        <w:contextualSpacing/>
        <w:rPr>
          <w:rFonts w:ascii="宋体" w:hAnsi="宋体"/>
          <w:color w:val="auto"/>
          <w:szCs w:val="21"/>
          <w:u w:val="single"/>
        </w:rPr>
      </w:pPr>
      <w:r>
        <w:rPr>
          <w:rFonts w:hint="eastAsia" w:ascii="宋体" w:hAnsi="宋体"/>
          <w:color w:val="auto"/>
          <w:szCs w:val="21"/>
        </w:rPr>
        <w:t xml:space="preserve">                                   身份证号码：</w:t>
      </w:r>
    </w:p>
    <w:p>
      <w:pPr>
        <w:spacing w:line="420" w:lineRule="exact"/>
        <w:contextualSpacing/>
        <w:rPr>
          <w:rFonts w:ascii="宋体" w:hAnsi="宋体"/>
          <w:color w:val="auto"/>
          <w:szCs w:val="21"/>
        </w:rPr>
      </w:pPr>
      <w:r>
        <w:rPr>
          <w:rFonts w:hint="eastAsia" w:ascii="宋体" w:hAnsi="宋体"/>
          <w:color w:val="auto"/>
          <w:szCs w:val="21"/>
        </w:rPr>
        <w:t>年月日</w:t>
      </w:r>
    </w:p>
    <w:p>
      <w:pPr>
        <w:spacing w:line="480" w:lineRule="exact"/>
        <w:rPr>
          <w:rFonts w:ascii="宋体" w:hAnsi="宋体"/>
          <w:color w:val="auto"/>
          <w:szCs w:val="21"/>
        </w:rPr>
      </w:pPr>
    </w:p>
    <w:p>
      <w:pPr>
        <w:spacing w:line="480" w:lineRule="exact"/>
        <w:rPr>
          <w:rFonts w:ascii="宋体" w:hAnsi="宋体"/>
          <w:color w:val="auto"/>
          <w:sz w:val="24"/>
        </w:rPr>
      </w:pPr>
    </w:p>
    <w:p>
      <w:pPr>
        <w:pStyle w:val="13"/>
        <w:ind w:left="420"/>
        <w:rPr>
          <w:rFonts w:ascii="宋体" w:hAnsi="宋体"/>
          <w:color w:val="auto"/>
        </w:rPr>
      </w:pPr>
      <w:bookmarkStart w:id="179" w:name="_Toc263413236"/>
      <w:bookmarkStart w:id="180" w:name="_Toc256773237"/>
      <w:r>
        <w:rPr>
          <w:rFonts w:ascii="宋体" w:hAnsi="宋体"/>
          <w:b w:val="0"/>
          <w:color w:val="auto"/>
        </w:rPr>
        <w:br w:type="page"/>
      </w:r>
      <w:bookmarkEnd w:id="179"/>
      <w:bookmarkEnd w:id="180"/>
      <w:bookmarkStart w:id="181" w:name="_Toc434396999"/>
      <w:bookmarkStart w:id="182" w:name="_Toc433215200"/>
      <w:bookmarkStart w:id="183" w:name="_Toc518893844"/>
      <w:bookmarkStart w:id="184" w:name="_Toc518908467"/>
    </w:p>
    <w:p>
      <w:pPr>
        <w:pStyle w:val="13"/>
        <w:ind w:left="420"/>
        <w:rPr>
          <w:rFonts w:ascii="宋体" w:hAnsi="宋体"/>
          <w:color w:val="auto"/>
        </w:rPr>
      </w:pPr>
      <w:r>
        <w:rPr>
          <w:rFonts w:hint="eastAsia" w:ascii="宋体" w:hAnsi="宋体"/>
          <w:color w:val="auto"/>
        </w:rPr>
        <w:t>资格审查资料</w:t>
      </w:r>
    </w:p>
    <w:p>
      <w:pPr>
        <w:rPr>
          <w:color w:val="auto"/>
        </w:rPr>
      </w:pPr>
      <w:r>
        <w:rPr>
          <w:rFonts w:hint="eastAsia"/>
          <w:color w:val="auto"/>
        </w:rPr>
        <w:t>包括但不限于以下资料：</w:t>
      </w:r>
    </w:p>
    <w:p>
      <w:pPr>
        <w:numPr>
          <w:ilvl w:val="0"/>
          <w:numId w:val="14"/>
        </w:numPr>
        <w:rPr>
          <w:color w:val="auto"/>
        </w:rPr>
      </w:pPr>
      <w:r>
        <w:rPr>
          <w:rFonts w:hint="eastAsia"/>
          <w:color w:val="auto"/>
        </w:rPr>
        <w:t>营业执照</w:t>
      </w:r>
    </w:p>
    <w:p>
      <w:pPr>
        <w:numPr>
          <w:ilvl w:val="0"/>
          <w:numId w:val="14"/>
        </w:numPr>
        <w:rPr>
          <w:color w:val="auto"/>
        </w:rPr>
      </w:pPr>
      <w:r>
        <w:rPr>
          <w:rFonts w:hint="eastAsia"/>
          <w:color w:val="auto"/>
        </w:rPr>
        <w:t>资质证书</w:t>
      </w:r>
    </w:p>
    <w:p>
      <w:pPr>
        <w:numPr>
          <w:ilvl w:val="0"/>
          <w:numId w:val="14"/>
        </w:numPr>
        <w:rPr>
          <w:color w:val="auto"/>
        </w:rPr>
      </w:pPr>
      <w:r>
        <w:rPr>
          <w:rFonts w:hint="eastAsia"/>
          <w:color w:val="auto"/>
        </w:rPr>
        <w:t>项目负责人证书</w:t>
      </w:r>
    </w:p>
    <w:p>
      <w:pPr>
        <w:rPr>
          <w:color w:val="auto"/>
        </w:rPr>
        <w:sectPr>
          <w:pgSz w:w="11906" w:h="16838"/>
          <w:pgMar w:top="1418" w:right="1361" w:bottom="1418" w:left="1418" w:header="851" w:footer="992" w:gutter="0"/>
          <w:cols w:space="720" w:num="1"/>
          <w:docGrid w:type="linesAndChars" w:linePitch="312" w:charSpace="0"/>
        </w:sectPr>
      </w:pPr>
    </w:p>
    <w:p>
      <w:pPr>
        <w:pStyle w:val="13"/>
        <w:ind w:left="420"/>
        <w:rPr>
          <w:rFonts w:ascii="宋体" w:hAnsi="宋体"/>
          <w:color w:val="auto"/>
        </w:rPr>
      </w:pPr>
      <w:r>
        <w:rPr>
          <w:rFonts w:hint="eastAsia" w:ascii="宋体" w:hAnsi="宋体"/>
          <w:color w:val="auto"/>
        </w:rPr>
        <w:t>施工方案</w:t>
      </w:r>
    </w:p>
    <w:bookmarkEnd w:id="181"/>
    <w:bookmarkEnd w:id="182"/>
    <w:bookmarkEnd w:id="183"/>
    <w:bookmarkEnd w:id="184"/>
    <w:p>
      <w:pPr>
        <w:pStyle w:val="13"/>
        <w:ind w:left="420"/>
        <w:rPr>
          <w:color w:val="auto"/>
        </w:rPr>
      </w:pPr>
    </w:p>
    <w:sectPr>
      <w:pgSz w:w="11906" w:h="16838"/>
      <w:pgMar w:top="1418" w:right="1361"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roma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http://www.chinapsp.cn/                       </w:t>
    </w: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37</w:t>
    </w:r>
    <w:r>
      <w:rPr>
        <w:kern w:val="0"/>
        <w:szCs w:val="21"/>
      </w:rPr>
      <w:fldChar w:fldCharType="end"/>
    </w:r>
    <w:r>
      <w:rPr>
        <w:rFonts w:hint="eastAsia"/>
        <w:kern w:val="0"/>
        <w:szCs w:val="21"/>
      </w:rPr>
      <w:t>页采联国际招标采购集团有限公司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宋体" w:hAnsi="宋体"/>
      </w:rPr>
      <w:t>第</w:t>
    </w:r>
    <w:r>
      <w:rPr>
        <w:rFonts w:hint="eastAsia" w:ascii="宋体" w:hAnsi="宋体"/>
      </w:rPr>
      <w:fldChar w:fldCharType="begin"/>
    </w:r>
    <w:r>
      <w:rPr>
        <w:rFonts w:hint="eastAsia" w:ascii="宋体" w:hAnsi="宋体"/>
      </w:rPr>
      <w:instrText xml:space="preserve">PAGE  \* Arabic  \* MERGEFORMAT</w:instrText>
    </w:r>
    <w:r>
      <w:rPr>
        <w:rFonts w:hint="eastAsia" w:ascii="宋体" w:hAnsi="宋体"/>
      </w:rPr>
      <w:fldChar w:fldCharType="separate"/>
    </w:r>
    <w:r>
      <w:rPr>
        <w:rFonts w:ascii="宋体" w:hAnsi="宋体"/>
        <w:lang w:val="zh-CN"/>
      </w:rPr>
      <w:t>2</w:t>
    </w:r>
    <w:r>
      <w:rPr>
        <w:rFonts w:hint="eastAsia" w:ascii="宋体" w:hAnsi="宋体"/>
      </w:rPr>
      <w:fldChar w:fldCharType="end"/>
    </w:r>
    <w:r>
      <w:rPr>
        <w:rStyle w:val="23"/>
        <w:rFonts w:hint="eastAsia" w:ascii="宋体"/>
      </w:rPr>
      <w:t>页，共</w:t>
    </w:r>
    <w:r>
      <w:rPr>
        <w:rFonts w:hint="eastAsia" w:ascii="宋体" w:hAnsi="宋体"/>
      </w:rPr>
      <w:t>30</w:t>
    </w:r>
    <w:r>
      <w:rPr>
        <w:rStyle w:val="23"/>
        <w:rFonts w:hint="eastAsia" w:ascii="宋体"/>
      </w:rPr>
      <w:t>页</w: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D6B45"/>
    <w:multiLevelType w:val="multilevel"/>
    <w:tmpl w:val="19DD6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420"/>
        </w:tabs>
        <w:ind w:left="42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1D0CB7"/>
    <w:multiLevelType w:val="multilevel"/>
    <w:tmpl w:val="251D0CB7"/>
    <w:lvl w:ilvl="0" w:tentative="0">
      <w:start w:val="1"/>
      <w:numFmt w:val="japaneseCounting"/>
      <w:lvlText w:val="（%1）"/>
      <w:lvlJc w:val="left"/>
      <w:pPr>
        <w:tabs>
          <w:tab w:val="left" w:pos="1200"/>
        </w:tabs>
        <w:ind w:left="1200" w:hanging="720"/>
      </w:pPr>
      <w:rPr>
        <w:rFonts w:hint="eastAsia"/>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C1565BB"/>
    <w:multiLevelType w:val="multilevel"/>
    <w:tmpl w:val="2C1565BB"/>
    <w:lvl w:ilvl="0" w:tentative="0">
      <w:start w:val="1"/>
      <w:numFmt w:val="decimal"/>
      <w:lvlText w:val="%1."/>
      <w:lvlJc w:val="left"/>
      <w:pPr>
        <w:ind w:left="420" w:hanging="420"/>
      </w:pPr>
      <w:rPr>
        <w:b w:val="0"/>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727B62"/>
    <w:multiLevelType w:val="multilevel"/>
    <w:tmpl w:val="36727B62"/>
    <w:lvl w:ilvl="0" w:tentative="0">
      <w:start w:val="1"/>
      <w:numFmt w:val="decimal"/>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00F3BC0"/>
    <w:multiLevelType w:val="multilevel"/>
    <w:tmpl w:val="400F3BC0"/>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5F32D89"/>
    <w:multiLevelType w:val="multilevel"/>
    <w:tmpl w:val="45F32D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874EE4"/>
    <w:multiLevelType w:val="multilevel"/>
    <w:tmpl w:val="4E874EE4"/>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DC5486"/>
    <w:multiLevelType w:val="multilevel"/>
    <w:tmpl w:val="57DC5486"/>
    <w:lvl w:ilvl="0" w:tentative="0">
      <w:start w:val="1"/>
      <w:numFmt w:val="japaneseCounting"/>
      <w:lvlText w:val="（%1）"/>
      <w:lvlJc w:val="left"/>
      <w:pPr>
        <w:tabs>
          <w:tab w:val="left" w:pos="1320"/>
        </w:tabs>
        <w:ind w:left="1320" w:hanging="720"/>
      </w:pPr>
      <w:rPr>
        <w:rFonts w:hint="eastAsia"/>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9">
    <w:nsid w:val="60AC6E6E"/>
    <w:multiLevelType w:val="multilevel"/>
    <w:tmpl w:val="60AC6E6E"/>
    <w:lvl w:ilvl="0" w:tentative="0">
      <w:start w:val="1"/>
      <w:numFmt w:val="decimal"/>
      <w:lvlText w:val="%1、"/>
      <w:lvlJc w:val="left"/>
      <w:pPr>
        <w:ind w:left="330" w:hanging="420"/>
      </w:pPr>
      <w:rPr>
        <w:rFonts w:hint="eastAsia"/>
      </w:rPr>
    </w:lvl>
    <w:lvl w:ilvl="1" w:tentative="0">
      <w:start w:val="1"/>
      <w:numFmt w:val="lowerLetter"/>
      <w:lvlText w:val="%2)"/>
      <w:lvlJc w:val="left"/>
      <w:pPr>
        <w:ind w:left="750" w:hanging="420"/>
      </w:pPr>
    </w:lvl>
    <w:lvl w:ilvl="2" w:tentative="0">
      <w:start w:val="1"/>
      <w:numFmt w:val="lowerRoman"/>
      <w:lvlText w:val="%3."/>
      <w:lvlJc w:val="right"/>
      <w:pPr>
        <w:ind w:left="1170" w:hanging="420"/>
      </w:pPr>
    </w:lvl>
    <w:lvl w:ilvl="3" w:tentative="0">
      <w:start w:val="1"/>
      <w:numFmt w:val="decimal"/>
      <w:lvlText w:val="%4."/>
      <w:lvlJc w:val="left"/>
      <w:pPr>
        <w:ind w:left="1590" w:hanging="420"/>
      </w:pPr>
    </w:lvl>
    <w:lvl w:ilvl="4" w:tentative="0">
      <w:start w:val="1"/>
      <w:numFmt w:val="lowerLetter"/>
      <w:lvlText w:val="%5)"/>
      <w:lvlJc w:val="left"/>
      <w:pPr>
        <w:ind w:left="2010" w:hanging="420"/>
      </w:pPr>
    </w:lvl>
    <w:lvl w:ilvl="5" w:tentative="0">
      <w:start w:val="1"/>
      <w:numFmt w:val="lowerRoman"/>
      <w:lvlText w:val="%6."/>
      <w:lvlJc w:val="right"/>
      <w:pPr>
        <w:ind w:left="2430" w:hanging="420"/>
      </w:pPr>
    </w:lvl>
    <w:lvl w:ilvl="6" w:tentative="0">
      <w:start w:val="1"/>
      <w:numFmt w:val="decimal"/>
      <w:lvlText w:val="%7."/>
      <w:lvlJc w:val="left"/>
      <w:pPr>
        <w:ind w:left="2850" w:hanging="420"/>
      </w:pPr>
    </w:lvl>
    <w:lvl w:ilvl="7" w:tentative="0">
      <w:start w:val="1"/>
      <w:numFmt w:val="lowerLetter"/>
      <w:lvlText w:val="%8)"/>
      <w:lvlJc w:val="left"/>
      <w:pPr>
        <w:ind w:left="3270" w:hanging="420"/>
      </w:pPr>
    </w:lvl>
    <w:lvl w:ilvl="8" w:tentative="0">
      <w:start w:val="1"/>
      <w:numFmt w:val="lowerRoman"/>
      <w:lvlText w:val="%9."/>
      <w:lvlJc w:val="right"/>
      <w:pPr>
        <w:ind w:left="3690" w:hanging="420"/>
      </w:pPr>
    </w:lvl>
  </w:abstractNum>
  <w:abstractNum w:abstractNumId="10">
    <w:nsid w:val="61E26100"/>
    <w:multiLevelType w:val="multilevel"/>
    <w:tmpl w:val="61E2610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938467B"/>
    <w:multiLevelType w:val="multilevel"/>
    <w:tmpl w:val="6938467B"/>
    <w:lvl w:ilvl="0" w:tentative="0">
      <w:start w:val="1"/>
      <w:numFmt w:val="chineseCountingThousand"/>
      <w:lvlText w:val="(%1)"/>
      <w:lvlJc w:val="left"/>
      <w:pPr>
        <w:ind w:left="420" w:hanging="420"/>
      </w:pPr>
      <w:rPr>
        <w:b w:val="0"/>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E4A64FF"/>
    <w:multiLevelType w:val="multilevel"/>
    <w:tmpl w:val="6E4A64FF"/>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01C3066"/>
    <w:multiLevelType w:val="multilevel"/>
    <w:tmpl w:val="701C3066"/>
    <w:lvl w:ilvl="0" w:tentative="0">
      <w:start w:val="1"/>
      <w:numFmt w:val="chineseCountingThousand"/>
      <w:lvlText w:val="%1、"/>
      <w:lvlJc w:val="left"/>
      <w:pPr>
        <w:ind w:left="7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12"/>
  </w:num>
  <w:num w:numId="4">
    <w:abstractNumId w:val="7"/>
  </w:num>
  <w:num w:numId="5">
    <w:abstractNumId w:val="0"/>
  </w:num>
  <w:num w:numId="6">
    <w:abstractNumId w:val="6"/>
  </w:num>
  <w:num w:numId="7">
    <w:abstractNumId w:val="4"/>
  </w:num>
  <w:num w:numId="8">
    <w:abstractNumId w:val="2"/>
  </w:num>
  <w:num w:numId="9">
    <w:abstractNumId w:val="11"/>
  </w:num>
  <w:num w:numId="10">
    <w:abstractNumId w:val="3"/>
  </w:num>
  <w:num w:numId="11">
    <w:abstractNumId w:val="8"/>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E2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widowControl/>
      <w:spacing w:before="120" w:after="240"/>
      <w:ind w:right="240"/>
      <w:jc w:val="left"/>
      <w:outlineLvl w:val="0"/>
    </w:pPr>
    <w:rPr>
      <w:rFonts w:ascii="宋体" w:hAnsi="宋体"/>
      <w:b/>
      <w:bCs/>
      <w:kern w:val="36"/>
      <w:sz w:val="14"/>
      <w:szCs w:val="14"/>
    </w:rPr>
  </w:style>
  <w:style w:type="paragraph" w:styleId="3">
    <w:name w:val="heading 2"/>
    <w:basedOn w:val="1"/>
    <w:next w:val="1"/>
    <w:link w:val="2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40"/>
    <w:unhideWhenUsed/>
    <w:uiPriority w:val="99"/>
    <w:pPr>
      <w:jc w:val="left"/>
    </w:pPr>
  </w:style>
  <w:style w:type="paragraph" w:styleId="6">
    <w:name w:val="Body Text"/>
    <w:basedOn w:val="1"/>
    <w:link w:val="54"/>
    <w:uiPriority w:val="0"/>
    <w:pPr>
      <w:spacing w:after="120"/>
    </w:pPr>
    <w:rPr>
      <w:kern w:val="0"/>
      <w:sz w:val="20"/>
    </w:rPr>
  </w:style>
  <w:style w:type="paragraph" w:styleId="7">
    <w:name w:val="toc 3"/>
    <w:basedOn w:val="1"/>
    <w:next w:val="1"/>
    <w:qFormat/>
    <w:uiPriority w:val="39"/>
    <w:pPr>
      <w:ind w:left="840" w:leftChars="400"/>
    </w:pPr>
  </w:style>
  <w:style w:type="paragraph" w:styleId="8">
    <w:name w:val="Plain Text"/>
    <w:basedOn w:val="1"/>
    <w:link w:val="38"/>
    <w:qFormat/>
    <w:uiPriority w:val="0"/>
    <w:rPr>
      <w:rFonts w:ascii="宋体" w:hAnsi="Courier New" w:eastAsiaTheme="minorEastAsia" w:cstheme="minorBidi"/>
      <w:sz w:val="24"/>
      <w:szCs w:val="22"/>
    </w:rPr>
  </w:style>
  <w:style w:type="paragraph" w:styleId="9">
    <w:name w:val="Balloon Text"/>
    <w:basedOn w:val="1"/>
    <w:link w:val="37"/>
    <w:uiPriority w:val="0"/>
    <w:rPr>
      <w:rFonts w:asciiTheme="minorHAnsi" w:hAnsiTheme="minorHAnsi" w:eastAsiaTheme="minorEastAsia" w:cstheme="minorBidi"/>
      <w:sz w:val="18"/>
      <w:szCs w:val="18"/>
    </w:rPr>
  </w:style>
  <w:style w:type="paragraph" w:styleId="10">
    <w:name w:val="footer"/>
    <w:basedOn w:val="1"/>
    <w:link w:val="45"/>
    <w:uiPriority w:val="0"/>
    <w:pPr>
      <w:tabs>
        <w:tab w:val="center" w:pos="4153"/>
        <w:tab w:val="right" w:pos="8306"/>
      </w:tabs>
      <w:snapToGrid w:val="0"/>
      <w:jc w:val="left"/>
    </w:pPr>
    <w:rPr>
      <w:sz w:val="18"/>
      <w:szCs w:val="18"/>
    </w:rPr>
  </w:style>
  <w:style w:type="paragraph" w:styleId="11">
    <w:name w:val="header"/>
    <w:basedOn w:val="1"/>
    <w:link w:val="36"/>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3">
    <w:name w:val="Subtitle"/>
    <w:basedOn w:val="1"/>
    <w:next w:val="1"/>
    <w:link w:val="3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toc 2"/>
    <w:basedOn w:val="1"/>
    <w:next w:val="1"/>
    <w:qFormat/>
    <w:uiPriority w:val="39"/>
    <w:pPr>
      <w:ind w:left="420" w:leftChars="200"/>
    </w:pPr>
  </w:style>
  <w:style w:type="paragraph" w:styleId="15">
    <w:name w:val="HTML Preformatted"/>
    <w:basedOn w:val="1"/>
    <w:link w:val="3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eastAsiaTheme="minorEastAsia"/>
      <w:sz w:val="11"/>
      <w:szCs w:val="11"/>
    </w:rPr>
  </w:style>
  <w:style w:type="paragraph" w:styleId="16">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5"/>
    <w:next w:val="5"/>
    <w:link w:val="32"/>
    <w:uiPriority w:val="0"/>
    <w:rPr>
      <w:rFonts w:asciiTheme="minorHAnsi" w:hAnsiTheme="minorHAnsi" w:eastAsiaTheme="minorEastAsia" w:cstheme="minorBidi"/>
      <w:b/>
      <w:bCs/>
    </w:rPr>
  </w:style>
  <w:style w:type="paragraph" w:styleId="18">
    <w:name w:val="Body Text First Indent"/>
    <w:basedOn w:val="6"/>
    <w:link w:val="55"/>
    <w:uiPriority w:val="0"/>
    <w:pPr>
      <w:ind w:firstLine="420" w:firstLineChars="100"/>
    </w:pPr>
    <w:rPr>
      <w:kern w:val="2"/>
      <w:sz w:val="21"/>
    </w:rPr>
  </w:style>
  <w:style w:type="table" w:styleId="20">
    <w:name w:val="Table Grid"/>
    <w:basedOn w:val="19"/>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semiHidden/>
    <w:unhideWhenUsed/>
    <w:uiPriority w:val="0"/>
  </w:style>
  <w:style w:type="character" w:styleId="24">
    <w:name w:val="FollowedHyperlink"/>
    <w:uiPriority w:val="0"/>
    <w:rPr>
      <w:color w:val="800080"/>
      <w:u w:val="single"/>
    </w:rPr>
  </w:style>
  <w:style w:type="character" w:styleId="25">
    <w:name w:val="Hyperlink"/>
    <w:unhideWhenUsed/>
    <w:uiPriority w:val="99"/>
    <w:rPr>
      <w:color w:val="0000FF"/>
      <w:u w:val="single"/>
    </w:rPr>
  </w:style>
  <w:style w:type="character" w:styleId="26">
    <w:name w:val="annotation reference"/>
    <w:uiPriority w:val="99"/>
    <w:rPr>
      <w:sz w:val="21"/>
      <w:szCs w:val="21"/>
    </w:rPr>
  </w:style>
  <w:style w:type="character" w:customStyle="1" w:styleId="27">
    <w:name w:val="标题 1 Char"/>
    <w:basedOn w:val="21"/>
    <w:link w:val="2"/>
    <w:uiPriority w:val="9"/>
    <w:rPr>
      <w:rFonts w:ascii="宋体" w:hAnsi="宋体" w:eastAsia="宋体" w:cs="Times New Roman"/>
      <w:b/>
      <w:bCs/>
      <w:kern w:val="36"/>
      <w:sz w:val="14"/>
      <w:szCs w:val="14"/>
    </w:rPr>
  </w:style>
  <w:style w:type="character" w:customStyle="1" w:styleId="28">
    <w:name w:val="标题 2 Char"/>
    <w:basedOn w:val="21"/>
    <w:link w:val="3"/>
    <w:uiPriority w:val="0"/>
    <w:rPr>
      <w:rFonts w:ascii="Cambria" w:hAnsi="Cambria" w:eastAsia="宋体" w:cs="Times New Roman"/>
      <w:b/>
      <w:bCs/>
      <w:sz w:val="32"/>
      <w:szCs w:val="32"/>
    </w:rPr>
  </w:style>
  <w:style w:type="character" w:customStyle="1" w:styleId="29">
    <w:name w:val="标题 3 Char"/>
    <w:basedOn w:val="21"/>
    <w:link w:val="4"/>
    <w:uiPriority w:val="0"/>
    <w:rPr>
      <w:rFonts w:ascii="Times New Roman" w:hAnsi="Times New Roman" w:eastAsia="宋体" w:cs="Times New Roman"/>
      <w:b/>
      <w:bCs/>
      <w:sz w:val="32"/>
      <w:szCs w:val="32"/>
    </w:rPr>
  </w:style>
  <w:style w:type="character" w:customStyle="1" w:styleId="30">
    <w:name w:val="副标题 Char"/>
    <w:link w:val="13"/>
    <w:uiPriority w:val="0"/>
    <w:rPr>
      <w:rFonts w:ascii="Cambria" w:hAnsi="Cambria" w:cs="Times New Roman"/>
      <w:b/>
      <w:bCs/>
      <w:kern w:val="28"/>
      <w:sz w:val="32"/>
      <w:szCs w:val="32"/>
    </w:rPr>
  </w:style>
  <w:style w:type="character" w:customStyle="1" w:styleId="31">
    <w:name w:val="op-map-singlepoint-info-right"/>
    <w:basedOn w:val="21"/>
    <w:uiPriority w:val="0"/>
  </w:style>
  <w:style w:type="character" w:customStyle="1" w:styleId="32">
    <w:name w:val="批注主题 Char"/>
    <w:link w:val="17"/>
    <w:uiPriority w:val="0"/>
    <w:rPr>
      <w:b/>
      <w:bCs/>
      <w:szCs w:val="24"/>
    </w:rPr>
  </w:style>
  <w:style w:type="character" w:customStyle="1" w:styleId="33">
    <w:name w:val="p21"/>
    <w:uiPriority w:val="0"/>
    <w:rPr>
      <w:sz w:val="9"/>
      <w:szCs w:val="9"/>
    </w:rPr>
  </w:style>
  <w:style w:type="character" w:customStyle="1" w:styleId="34">
    <w:name w:val="批注文字 Char"/>
    <w:uiPriority w:val="99"/>
    <w:rPr>
      <w:kern w:val="2"/>
      <w:sz w:val="21"/>
      <w:szCs w:val="24"/>
    </w:rPr>
  </w:style>
  <w:style w:type="character" w:customStyle="1" w:styleId="35">
    <w:name w:val="HTML 预设格式 Char"/>
    <w:link w:val="15"/>
    <w:uiPriority w:val="99"/>
    <w:rPr>
      <w:rFonts w:ascii="Arial" w:hAnsi="Arial" w:cs="Arial"/>
      <w:sz w:val="11"/>
      <w:szCs w:val="11"/>
    </w:rPr>
  </w:style>
  <w:style w:type="character" w:customStyle="1" w:styleId="36">
    <w:name w:val="页眉 Char"/>
    <w:link w:val="11"/>
    <w:uiPriority w:val="0"/>
    <w:rPr>
      <w:sz w:val="18"/>
      <w:szCs w:val="18"/>
    </w:rPr>
  </w:style>
  <w:style w:type="character" w:customStyle="1" w:styleId="37">
    <w:name w:val="批注框文本 Char"/>
    <w:link w:val="9"/>
    <w:uiPriority w:val="0"/>
    <w:rPr>
      <w:sz w:val="18"/>
      <w:szCs w:val="18"/>
    </w:rPr>
  </w:style>
  <w:style w:type="character" w:customStyle="1" w:styleId="38">
    <w:name w:val="纯文本 Char"/>
    <w:link w:val="8"/>
    <w:uiPriority w:val="0"/>
    <w:rPr>
      <w:rFonts w:ascii="宋体" w:hAnsi="Courier New"/>
      <w:sz w:val="24"/>
    </w:rPr>
  </w:style>
  <w:style w:type="character" w:customStyle="1" w:styleId="39">
    <w:name w:val="纯文本 Char1"/>
    <w:basedOn w:val="21"/>
    <w:uiPriority w:val="0"/>
    <w:rPr>
      <w:rFonts w:ascii="宋体" w:hAnsi="Courier New" w:eastAsia="宋体" w:cs="Courier New"/>
      <w:szCs w:val="21"/>
    </w:rPr>
  </w:style>
  <w:style w:type="character" w:customStyle="1" w:styleId="40">
    <w:name w:val="批注文字 Char1"/>
    <w:basedOn w:val="21"/>
    <w:link w:val="5"/>
    <w:semiHidden/>
    <w:uiPriority w:val="99"/>
    <w:rPr>
      <w:rFonts w:ascii="Times New Roman" w:hAnsi="Times New Roman" w:eastAsia="宋体" w:cs="Times New Roman"/>
      <w:szCs w:val="24"/>
    </w:rPr>
  </w:style>
  <w:style w:type="character" w:customStyle="1" w:styleId="41">
    <w:name w:val="批注主题 Char1"/>
    <w:basedOn w:val="40"/>
    <w:semiHidden/>
    <w:uiPriority w:val="99"/>
    <w:rPr>
      <w:rFonts w:ascii="Times New Roman" w:hAnsi="Times New Roman" w:eastAsia="宋体" w:cs="Times New Roman"/>
      <w:b/>
      <w:bCs/>
      <w:szCs w:val="24"/>
    </w:rPr>
  </w:style>
  <w:style w:type="paragraph" w:customStyle="1" w:styleId="42">
    <w:name w:val="样式 标题 3 + (中文) 黑体 小四 非加粗 段前: 7.8 磅 段后: 0 磅 行距: 固定值 20 磅"/>
    <w:basedOn w:val="4"/>
    <w:uiPriority w:val="0"/>
    <w:pPr>
      <w:spacing w:before="0" w:after="0" w:line="400" w:lineRule="exact"/>
    </w:pPr>
    <w:rPr>
      <w:rFonts w:eastAsia="黑体" w:cs="宋体"/>
      <w:b w:val="0"/>
      <w:bCs w:val="0"/>
      <w:sz w:val="24"/>
      <w:szCs w:val="20"/>
    </w:rPr>
  </w:style>
  <w:style w:type="character" w:customStyle="1" w:styleId="43">
    <w:name w:val="页眉 Char1"/>
    <w:basedOn w:val="21"/>
    <w:semiHidden/>
    <w:uiPriority w:val="99"/>
    <w:rPr>
      <w:rFonts w:ascii="Times New Roman" w:hAnsi="Times New Roman" w:eastAsia="宋体" w:cs="Times New Roman"/>
      <w:sz w:val="18"/>
      <w:szCs w:val="18"/>
    </w:rPr>
  </w:style>
  <w:style w:type="character" w:customStyle="1" w:styleId="44">
    <w:name w:val="批注框文本 Char1"/>
    <w:basedOn w:val="21"/>
    <w:semiHidden/>
    <w:uiPriority w:val="99"/>
    <w:rPr>
      <w:rFonts w:ascii="Times New Roman" w:hAnsi="Times New Roman" w:eastAsia="宋体" w:cs="Times New Roman"/>
      <w:sz w:val="18"/>
      <w:szCs w:val="18"/>
    </w:rPr>
  </w:style>
  <w:style w:type="character" w:customStyle="1" w:styleId="45">
    <w:name w:val="页脚 Char"/>
    <w:basedOn w:val="21"/>
    <w:link w:val="10"/>
    <w:uiPriority w:val="0"/>
    <w:rPr>
      <w:rFonts w:ascii="Times New Roman" w:hAnsi="Times New Roman" w:eastAsia="宋体" w:cs="Times New Roman"/>
      <w:sz w:val="18"/>
      <w:szCs w:val="18"/>
    </w:rPr>
  </w:style>
  <w:style w:type="character" w:customStyle="1" w:styleId="46">
    <w:name w:val="HTML 预设格式 Char1"/>
    <w:basedOn w:val="21"/>
    <w:semiHidden/>
    <w:uiPriority w:val="99"/>
    <w:rPr>
      <w:rFonts w:ascii="Courier New" w:hAnsi="Courier New" w:eastAsia="宋体" w:cs="Courier New"/>
      <w:sz w:val="20"/>
      <w:szCs w:val="20"/>
    </w:rPr>
  </w:style>
  <w:style w:type="character" w:customStyle="1" w:styleId="47">
    <w:name w:val="副标题 Char1"/>
    <w:basedOn w:val="21"/>
    <w:uiPriority w:val="11"/>
    <w:rPr>
      <w:rFonts w:eastAsia="宋体" w:asciiTheme="majorHAnsi" w:hAnsiTheme="majorHAnsi" w:cstheme="majorBidi"/>
      <w:b/>
      <w:bCs/>
      <w:kern w:val="28"/>
      <w:sz w:val="32"/>
      <w:szCs w:val="32"/>
    </w:rPr>
  </w:style>
  <w:style w:type="paragraph" w:customStyle="1" w:styleId="48">
    <w:name w:val="contentarticle"/>
    <w:basedOn w:val="1"/>
    <w:uiPriority w:val="0"/>
    <w:pPr>
      <w:widowControl/>
      <w:spacing w:before="100" w:beforeAutospacing="1" w:after="100" w:afterAutospacing="1"/>
      <w:jc w:val="left"/>
    </w:pPr>
    <w:rPr>
      <w:rFonts w:ascii="宋体" w:hAnsi="宋体" w:cs="宋体"/>
      <w:kern w:val="0"/>
      <w:sz w:val="24"/>
    </w:rPr>
  </w:style>
  <w:style w:type="paragraph" w:customStyle="1" w:styleId="49">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0">
    <w:name w:val="TOC 标题1"/>
    <w:basedOn w:val="2"/>
    <w:next w:val="1"/>
    <w:qFormat/>
    <w:uiPriority w:val="39"/>
    <w:pPr>
      <w:keepNext/>
      <w:keepLines/>
      <w:spacing w:before="480" w:after="0" w:line="276" w:lineRule="auto"/>
      <w:ind w:right="0"/>
      <w:outlineLvl w:val="9"/>
    </w:pPr>
    <w:rPr>
      <w:rFonts w:ascii="Cambria" w:hAnsi="Cambria"/>
      <w:color w:val="365F91"/>
      <w:kern w:val="0"/>
      <w:sz w:val="28"/>
      <w:szCs w:val="28"/>
    </w:rPr>
  </w:style>
  <w:style w:type="paragraph" w:customStyle="1" w:styleId="51">
    <w:name w:val="t_black_12_b"/>
    <w:basedOn w:val="1"/>
    <w:uiPriority w:val="0"/>
    <w:pPr>
      <w:widowControl/>
      <w:jc w:val="left"/>
    </w:pPr>
    <w:rPr>
      <w:rFonts w:ascii="宋体" w:hAnsi="宋体" w:cs="宋体"/>
      <w:b/>
      <w:bCs/>
      <w:color w:val="212121"/>
      <w:kern w:val="0"/>
      <w:sz w:val="9"/>
      <w:szCs w:val="9"/>
    </w:rPr>
  </w:style>
  <w:style w:type="paragraph" w:customStyle="1" w:styleId="52">
    <w:name w:val="5表格正文"/>
    <w:basedOn w:val="1"/>
    <w:qFormat/>
    <w:uiPriority w:val="0"/>
    <w:pPr>
      <w:widowControl/>
      <w:spacing w:line="312" w:lineRule="auto"/>
      <w:ind w:firstLine="150" w:firstLineChars="150"/>
      <w:jc w:val="left"/>
    </w:pPr>
    <w:rPr>
      <w:rFonts w:ascii="宋体" w:hAnsi="宋体"/>
      <w:snapToGrid w:val="0"/>
      <w:color w:val="000000"/>
      <w:szCs w:val="20"/>
    </w:rPr>
  </w:style>
  <w:style w:type="paragraph" w:customStyle="1" w:styleId="53">
    <w:name w:val="修订1"/>
    <w:hidden/>
    <w:semiHidden/>
    <w:unhideWhenUsed/>
    <w:uiPriority w:val="99"/>
    <w:rPr>
      <w:rFonts w:ascii="Times New Roman" w:hAnsi="Times New Roman" w:eastAsia="宋体" w:cs="Times New Roman"/>
      <w:kern w:val="2"/>
      <w:sz w:val="21"/>
      <w:szCs w:val="24"/>
      <w:lang w:val="en-US" w:eastAsia="zh-CN" w:bidi="ar-SA"/>
    </w:rPr>
  </w:style>
  <w:style w:type="character" w:customStyle="1" w:styleId="54">
    <w:name w:val="正文文本 Char"/>
    <w:basedOn w:val="21"/>
    <w:link w:val="6"/>
    <w:uiPriority w:val="0"/>
    <w:rPr>
      <w:rFonts w:ascii="Times New Roman" w:hAnsi="Times New Roman" w:eastAsia="宋体" w:cs="Times New Roman"/>
      <w:kern w:val="0"/>
      <w:sz w:val="20"/>
      <w:szCs w:val="24"/>
    </w:rPr>
  </w:style>
  <w:style w:type="character" w:customStyle="1" w:styleId="55">
    <w:name w:val="正文首行缩进 Char"/>
    <w:basedOn w:val="54"/>
    <w:link w:val="18"/>
    <w:uiPriority w:val="0"/>
    <w:rPr>
      <w:rFonts w:ascii="Times New Roman" w:hAnsi="Times New Roman" w:eastAsia="宋体" w:cs="Times New Roman"/>
      <w:kern w:val="0"/>
      <w:sz w:val="20"/>
      <w:szCs w:val="24"/>
    </w:rPr>
  </w:style>
  <w:style w:type="paragraph" w:styleId="56">
    <w:name w:val="List Paragraph"/>
    <w:basedOn w:val="1"/>
    <w:qFormat/>
    <w:uiPriority w:val="34"/>
    <w:pPr>
      <w:autoSpaceDE w:val="0"/>
      <w:autoSpaceDN w:val="0"/>
      <w:adjustRightInd w:val="0"/>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33</Pages>
  <Words>2597</Words>
  <Characters>14807</Characters>
  <Lines>123</Lines>
  <Paragraphs>34</Paragraphs>
  <TotalTime>12</TotalTime>
  <ScaleCrop>false</ScaleCrop>
  <LinksUpToDate>false</LinksUpToDate>
  <CharactersWithSpaces>17370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2022-02-14T01:16:00Z</dcterms:created>
  <dc:creator>广东采联采购科技有限公司</dc:creator>
  <cp:lastModifiedBy>iiiiiiiiiiiiiiiiiiii</cp:lastModifiedBy>
  <dcterms:modified xsi:type="dcterms:W3CDTF">2022-02-14T03:57:05Z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802552A8D82342EAB65F54430139211C</vt:lpwstr>
  </property>
</Properties>
</file>